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6A982" w14:textId="5DBB2E0C" w:rsidR="00A45FD2" w:rsidRPr="00247141" w:rsidRDefault="00333075" w:rsidP="00333075">
      <w:pPr>
        <w:jc w:val="center"/>
        <w:rPr>
          <w:b/>
          <w:bCs/>
          <w:sz w:val="24"/>
          <w:szCs w:val="24"/>
        </w:rPr>
      </w:pPr>
      <w:bookmarkStart w:id="0" w:name="_GoBack"/>
      <w:bookmarkEnd w:id="0"/>
      <w:r w:rsidRPr="00247141">
        <w:rPr>
          <w:b/>
          <w:bCs/>
          <w:sz w:val="24"/>
          <w:szCs w:val="24"/>
        </w:rPr>
        <w:t xml:space="preserve">KARŞILAŞTIRMALI ANAYASA TARİHİ </w:t>
      </w:r>
      <w:r w:rsidR="0028341F" w:rsidRPr="00247141">
        <w:rPr>
          <w:b/>
          <w:bCs/>
          <w:sz w:val="24"/>
          <w:szCs w:val="24"/>
        </w:rPr>
        <w:t>IŞIĞINDA</w:t>
      </w:r>
      <w:r w:rsidRPr="00247141">
        <w:rPr>
          <w:b/>
          <w:bCs/>
          <w:sz w:val="24"/>
          <w:szCs w:val="24"/>
        </w:rPr>
        <w:t xml:space="preserve"> HUKUK DEVLETİNİN AŞINMASI VE YENİDEN İNŞASINDA </w:t>
      </w:r>
      <w:r w:rsidR="0019688A" w:rsidRPr="00247141">
        <w:rPr>
          <w:b/>
          <w:bCs/>
          <w:sz w:val="24"/>
          <w:szCs w:val="24"/>
        </w:rPr>
        <w:t>YARGI</w:t>
      </w:r>
      <w:r w:rsidR="00052C69" w:rsidRPr="00247141">
        <w:rPr>
          <w:b/>
          <w:bCs/>
          <w:sz w:val="24"/>
          <w:szCs w:val="24"/>
        </w:rPr>
        <w:t>C</w:t>
      </w:r>
      <w:r w:rsidR="0019688A" w:rsidRPr="00247141">
        <w:rPr>
          <w:b/>
          <w:bCs/>
          <w:sz w:val="24"/>
          <w:szCs w:val="24"/>
        </w:rPr>
        <w:t>IN</w:t>
      </w:r>
      <w:r w:rsidRPr="00247141">
        <w:rPr>
          <w:b/>
          <w:bCs/>
          <w:sz w:val="24"/>
          <w:szCs w:val="24"/>
        </w:rPr>
        <w:t xml:space="preserve"> ROLÜ</w:t>
      </w:r>
    </w:p>
    <w:p w14:paraId="7FC26035" w14:textId="2C03E7CE" w:rsidR="00333075" w:rsidRPr="00247141" w:rsidRDefault="00C15CBA" w:rsidP="00C15CBA">
      <w:pPr>
        <w:jc w:val="right"/>
        <w:rPr>
          <w:b/>
          <w:bCs/>
          <w:sz w:val="24"/>
          <w:szCs w:val="24"/>
        </w:rPr>
      </w:pPr>
      <w:r w:rsidRPr="00247141">
        <w:rPr>
          <w:b/>
          <w:bCs/>
          <w:sz w:val="24"/>
          <w:szCs w:val="24"/>
        </w:rPr>
        <w:t>Dr. Ahmet Mert Duygun</w:t>
      </w:r>
      <w:r w:rsidR="00EF477F" w:rsidRPr="00247141">
        <w:rPr>
          <w:rStyle w:val="FootnoteReference"/>
          <w:b/>
          <w:bCs/>
          <w:sz w:val="24"/>
          <w:szCs w:val="24"/>
        </w:rPr>
        <w:footnoteReference w:id="1"/>
      </w:r>
    </w:p>
    <w:p w14:paraId="1D36486D" w14:textId="664B7C62" w:rsidR="00361C81" w:rsidRPr="00247141" w:rsidRDefault="00361C81" w:rsidP="00C15CBA">
      <w:pPr>
        <w:jc w:val="right"/>
        <w:rPr>
          <w:i/>
          <w:iCs/>
          <w:sz w:val="24"/>
          <w:szCs w:val="24"/>
        </w:rPr>
      </w:pPr>
      <w:r w:rsidRPr="00247141">
        <w:rPr>
          <w:sz w:val="24"/>
          <w:szCs w:val="24"/>
        </w:rPr>
        <w:t>„</w:t>
      </w:r>
      <w:r w:rsidRPr="00247141">
        <w:rPr>
          <w:i/>
          <w:iCs/>
          <w:sz w:val="24"/>
          <w:szCs w:val="24"/>
        </w:rPr>
        <w:t>Heute nicht Unrecht sein kann, was damals Recht war.“</w:t>
      </w:r>
    </w:p>
    <w:p w14:paraId="2CE09930" w14:textId="621B5FF6" w:rsidR="00361C81" w:rsidRPr="00247141" w:rsidRDefault="00361C81" w:rsidP="00361C81">
      <w:pPr>
        <w:jc w:val="right"/>
        <w:rPr>
          <w:b/>
          <w:bCs/>
          <w:i/>
          <w:iCs/>
          <w:sz w:val="24"/>
          <w:szCs w:val="24"/>
        </w:rPr>
      </w:pPr>
      <w:r w:rsidRPr="00247141">
        <w:rPr>
          <w:i/>
          <w:iCs/>
          <w:sz w:val="24"/>
          <w:szCs w:val="24"/>
        </w:rPr>
        <w:t>(“Bir zamanlar hukuk olan bugün</w:t>
      </w:r>
      <w:r w:rsidR="00F4732E" w:rsidRPr="00247141">
        <w:rPr>
          <w:i/>
          <w:iCs/>
          <w:sz w:val="24"/>
          <w:szCs w:val="24"/>
        </w:rPr>
        <w:t xml:space="preserve"> artık</w:t>
      </w:r>
      <w:r w:rsidRPr="00247141">
        <w:rPr>
          <w:i/>
          <w:iCs/>
          <w:sz w:val="24"/>
          <w:szCs w:val="24"/>
        </w:rPr>
        <w:t xml:space="preserve"> hukuksuzluk olamaz</w:t>
      </w:r>
      <w:r w:rsidRPr="00247141">
        <w:rPr>
          <w:b/>
          <w:bCs/>
          <w:i/>
          <w:iCs/>
          <w:sz w:val="24"/>
          <w:szCs w:val="24"/>
        </w:rPr>
        <w:t>.</w:t>
      </w:r>
      <w:r w:rsidRPr="00247141">
        <w:rPr>
          <w:i/>
          <w:iCs/>
          <w:sz w:val="24"/>
          <w:szCs w:val="24"/>
        </w:rPr>
        <w:t>“ )</w:t>
      </w:r>
      <w:r w:rsidRPr="00247141">
        <w:rPr>
          <w:rStyle w:val="FootnoteReference"/>
          <w:i/>
          <w:iCs/>
          <w:sz w:val="24"/>
          <w:szCs w:val="24"/>
        </w:rPr>
        <w:footnoteReference w:id="2"/>
      </w:r>
    </w:p>
    <w:p w14:paraId="00068C79" w14:textId="1A46AEAF" w:rsidR="00CA0DBB" w:rsidRPr="00247141" w:rsidRDefault="00CA0DBB" w:rsidP="00CA0DBB">
      <w:pPr>
        <w:pStyle w:val="ListParagraph"/>
        <w:numPr>
          <w:ilvl w:val="0"/>
          <w:numId w:val="1"/>
        </w:numPr>
        <w:rPr>
          <w:b/>
          <w:bCs/>
          <w:sz w:val="24"/>
          <w:szCs w:val="24"/>
        </w:rPr>
      </w:pPr>
      <w:r w:rsidRPr="00247141">
        <w:rPr>
          <w:b/>
          <w:bCs/>
          <w:sz w:val="24"/>
          <w:szCs w:val="24"/>
        </w:rPr>
        <w:t xml:space="preserve">Giriş </w:t>
      </w:r>
    </w:p>
    <w:p w14:paraId="1D747E09" w14:textId="0FD9A54D" w:rsidR="00333075" w:rsidRPr="00247141" w:rsidRDefault="00333075" w:rsidP="00C15CBA">
      <w:pPr>
        <w:jc w:val="both"/>
        <w:rPr>
          <w:sz w:val="24"/>
          <w:szCs w:val="24"/>
        </w:rPr>
      </w:pPr>
      <w:r w:rsidRPr="00247141">
        <w:rPr>
          <w:sz w:val="24"/>
          <w:szCs w:val="24"/>
        </w:rPr>
        <w:t>Hukuk devletinin</w:t>
      </w:r>
      <w:r w:rsidR="005E5CEC" w:rsidRPr="00247141">
        <w:rPr>
          <w:rStyle w:val="FootnoteReference"/>
          <w:sz w:val="24"/>
          <w:szCs w:val="24"/>
        </w:rPr>
        <w:footnoteReference w:id="3"/>
      </w:r>
      <w:r w:rsidRPr="00247141">
        <w:rPr>
          <w:sz w:val="24"/>
          <w:szCs w:val="24"/>
        </w:rPr>
        <w:t xml:space="preserve"> aşındığı tüm rej</w:t>
      </w:r>
      <w:r w:rsidR="005A26AC" w:rsidRPr="00247141">
        <w:rPr>
          <w:sz w:val="24"/>
          <w:szCs w:val="24"/>
        </w:rPr>
        <w:t xml:space="preserve">imlerde anayasa hukukçularının </w:t>
      </w:r>
      <w:r w:rsidRPr="00247141">
        <w:rPr>
          <w:sz w:val="24"/>
          <w:szCs w:val="24"/>
        </w:rPr>
        <w:t>ve siyaset bilimcilerin ilgisi</w:t>
      </w:r>
      <w:r w:rsidR="00877F52" w:rsidRPr="00247141">
        <w:rPr>
          <w:sz w:val="24"/>
          <w:szCs w:val="24"/>
        </w:rPr>
        <w:t xml:space="preserve">, </w:t>
      </w:r>
      <w:r w:rsidR="00411F22" w:rsidRPr="00247141">
        <w:rPr>
          <w:sz w:val="24"/>
          <w:szCs w:val="24"/>
        </w:rPr>
        <w:t>çoğunlukla</w:t>
      </w:r>
      <w:r w:rsidR="00877F52" w:rsidRPr="00247141">
        <w:rPr>
          <w:sz w:val="24"/>
          <w:szCs w:val="24"/>
        </w:rPr>
        <w:t>,</w:t>
      </w:r>
      <w:r w:rsidRPr="00247141">
        <w:rPr>
          <w:sz w:val="24"/>
          <w:szCs w:val="24"/>
        </w:rPr>
        <w:t xml:space="preserve"> yürütme erkin</w:t>
      </w:r>
      <w:r w:rsidR="005A26AC" w:rsidRPr="00247141">
        <w:rPr>
          <w:sz w:val="24"/>
          <w:szCs w:val="24"/>
        </w:rPr>
        <w:t>de ne ölçüde güç yoğunlaşması</w:t>
      </w:r>
      <w:r w:rsidRPr="00247141">
        <w:rPr>
          <w:sz w:val="24"/>
          <w:szCs w:val="24"/>
        </w:rPr>
        <w:t xml:space="preserve"> olduğu</w:t>
      </w:r>
      <w:r w:rsidR="00F93604" w:rsidRPr="00247141">
        <w:rPr>
          <w:sz w:val="24"/>
          <w:szCs w:val="24"/>
        </w:rPr>
        <w:t>na odaklanmakta ve</w:t>
      </w:r>
      <w:r w:rsidR="00906299" w:rsidRPr="00247141">
        <w:rPr>
          <w:sz w:val="24"/>
          <w:szCs w:val="24"/>
        </w:rPr>
        <w:t xml:space="preserve"> bu odak da</w:t>
      </w:r>
      <w:r w:rsidR="00F93604" w:rsidRPr="00247141">
        <w:rPr>
          <w:sz w:val="24"/>
          <w:szCs w:val="24"/>
        </w:rPr>
        <w:t xml:space="preserve"> </w:t>
      </w:r>
      <w:r w:rsidR="005A26AC" w:rsidRPr="00247141">
        <w:rPr>
          <w:sz w:val="24"/>
          <w:szCs w:val="24"/>
        </w:rPr>
        <w:t xml:space="preserve">yargı erkinin genelde </w:t>
      </w:r>
      <w:r w:rsidR="00E56150" w:rsidRPr="00247141">
        <w:rPr>
          <w:sz w:val="24"/>
          <w:szCs w:val="24"/>
        </w:rPr>
        <w:t>yürütmenin</w:t>
      </w:r>
      <w:r w:rsidR="005A26AC" w:rsidRPr="00247141">
        <w:rPr>
          <w:sz w:val="24"/>
          <w:szCs w:val="24"/>
        </w:rPr>
        <w:t xml:space="preserve"> bu</w:t>
      </w:r>
      <w:r w:rsidR="00E56150" w:rsidRPr="00247141">
        <w:rPr>
          <w:sz w:val="24"/>
          <w:szCs w:val="24"/>
        </w:rPr>
        <w:t xml:space="preserve"> „önlenemez yükselişine“ payanda ol</w:t>
      </w:r>
      <w:r w:rsidR="005A26AC" w:rsidRPr="00247141">
        <w:rPr>
          <w:sz w:val="24"/>
          <w:szCs w:val="24"/>
        </w:rPr>
        <w:t>duğu</w:t>
      </w:r>
      <w:r w:rsidR="00E56150" w:rsidRPr="00247141">
        <w:rPr>
          <w:sz w:val="24"/>
          <w:szCs w:val="24"/>
        </w:rPr>
        <w:t xml:space="preserve"> kabulüne dayanmaktadır. Bu düşüncenin temelinde ise</w:t>
      </w:r>
      <w:r w:rsidR="00877F52" w:rsidRPr="00247141">
        <w:rPr>
          <w:sz w:val="24"/>
          <w:szCs w:val="24"/>
        </w:rPr>
        <w:t>,</w:t>
      </w:r>
      <w:r w:rsidR="00E56150" w:rsidRPr="00247141">
        <w:rPr>
          <w:sz w:val="24"/>
          <w:szCs w:val="24"/>
        </w:rPr>
        <w:t xml:space="preserve"> esasen </w:t>
      </w:r>
      <w:r w:rsidR="006908B2" w:rsidRPr="00247141">
        <w:rPr>
          <w:sz w:val="24"/>
          <w:szCs w:val="24"/>
        </w:rPr>
        <w:t>özgürlüklerin korunmasını ‘‘kanun devleti</w:t>
      </w:r>
      <w:r w:rsidR="00F25124" w:rsidRPr="00247141">
        <w:rPr>
          <w:sz w:val="24"/>
          <w:szCs w:val="24"/>
        </w:rPr>
        <w:t xml:space="preserve"> </w:t>
      </w:r>
      <w:r w:rsidR="006908B2" w:rsidRPr="00247141">
        <w:rPr>
          <w:sz w:val="24"/>
          <w:szCs w:val="24"/>
        </w:rPr>
        <w:t>(</w:t>
      </w:r>
      <w:r w:rsidR="006908B2" w:rsidRPr="00247141">
        <w:rPr>
          <w:i/>
          <w:iCs/>
          <w:sz w:val="24"/>
          <w:szCs w:val="24"/>
        </w:rPr>
        <w:t>Gesetzesstaat</w:t>
      </w:r>
      <w:r w:rsidR="006908B2" w:rsidRPr="00247141">
        <w:rPr>
          <w:sz w:val="24"/>
          <w:szCs w:val="24"/>
        </w:rPr>
        <w:t>)‘‘ anlayışında</w:t>
      </w:r>
      <w:r w:rsidR="00B93142" w:rsidRPr="00247141">
        <w:rPr>
          <w:sz w:val="24"/>
          <w:szCs w:val="24"/>
        </w:rPr>
        <w:t xml:space="preserve"> </w:t>
      </w:r>
      <w:r w:rsidR="006908B2" w:rsidRPr="00247141">
        <w:rPr>
          <w:sz w:val="24"/>
          <w:szCs w:val="24"/>
        </w:rPr>
        <w:t>gören</w:t>
      </w:r>
      <w:r w:rsidR="00062259" w:rsidRPr="00247141">
        <w:rPr>
          <w:rStyle w:val="FootnoteReference"/>
          <w:sz w:val="24"/>
          <w:szCs w:val="24"/>
        </w:rPr>
        <w:footnoteReference w:id="4"/>
      </w:r>
      <w:r w:rsidR="003F5AED" w:rsidRPr="00247141">
        <w:rPr>
          <w:sz w:val="24"/>
          <w:szCs w:val="24"/>
        </w:rPr>
        <w:t xml:space="preserve">, </w:t>
      </w:r>
      <w:r w:rsidR="006908B2" w:rsidRPr="00247141">
        <w:rPr>
          <w:sz w:val="24"/>
          <w:szCs w:val="24"/>
        </w:rPr>
        <w:t>yargıcı</w:t>
      </w:r>
      <w:r w:rsidR="00C15CBA" w:rsidRPr="00247141">
        <w:rPr>
          <w:sz w:val="24"/>
          <w:szCs w:val="24"/>
        </w:rPr>
        <w:t>n işlevini</w:t>
      </w:r>
      <w:r w:rsidR="006908B2" w:rsidRPr="00247141">
        <w:rPr>
          <w:sz w:val="24"/>
          <w:szCs w:val="24"/>
        </w:rPr>
        <w:t xml:space="preserve"> tamamen kanunun uygulamasıyla </w:t>
      </w:r>
      <w:r w:rsidR="00C15CBA" w:rsidRPr="00247141">
        <w:rPr>
          <w:sz w:val="24"/>
          <w:szCs w:val="24"/>
        </w:rPr>
        <w:t>sınırl</w:t>
      </w:r>
      <w:r w:rsidR="003F5AED" w:rsidRPr="00247141">
        <w:rPr>
          <w:sz w:val="24"/>
          <w:szCs w:val="24"/>
        </w:rPr>
        <w:t xml:space="preserve">andıran </w:t>
      </w:r>
      <w:r w:rsidR="006908B2" w:rsidRPr="00247141">
        <w:rPr>
          <w:sz w:val="24"/>
          <w:szCs w:val="24"/>
        </w:rPr>
        <w:t>eğilim</w:t>
      </w:r>
      <w:r w:rsidR="00B93142" w:rsidRPr="00247141">
        <w:rPr>
          <w:sz w:val="24"/>
          <w:szCs w:val="24"/>
        </w:rPr>
        <w:t xml:space="preserve"> </w:t>
      </w:r>
      <w:r w:rsidR="006908B2" w:rsidRPr="00247141">
        <w:rPr>
          <w:sz w:val="24"/>
          <w:szCs w:val="24"/>
        </w:rPr>
        <w:t>yatmaktadır.</w:t>
      </w:r>
      <w:r w:rsidR="006908B2" w:rsidRPr="00247141">
        <w:rPr>
          <w:rStyle w:val="FootnoteReference"/>
          <w:sz w:val="24"/>
          <w:szCs w:val="24"/>
        </w:rPr>
        <w:footnoteReference w:id="5"/>
      </w:r>
      <w:r w:rsidR="00C15CBA" w:rsidRPr="00247141">
        <w:rPr>
          <w:sz w:val="24"/>
          <w:szCs w:val="24"/>
        </w:rPr>
        <w:t xml:space="preserve"> Nitekim </w:t>
      </w:r>
      <w:r w:rsidR="00062259" w:rsidRPr="00247141">
        <w:rPr>
          <w:sz w:val="24"/>
          <w:szCs w:val="24"/>
        </w:rPr>
        <w:t>bu alandaki</w:t>
      </w:r>
      <w:r w:rsidR="00C15CBA" w:rsidRPr="00247141">
        <w:rPr>
          <w:sz w:val="24"/>
          <w:szCs w:val="24"/>
        </w:rPr>
        <w:t xml:space="preserve"> çalışmaların</w:t>
      </w:r>
      <w:r w:rsidR="004022C8" w:rsidRPr="00247141">
        <w:rPr>
          <w:sz w:val="24"/>
          <w:szCs w:val="24"/>
        </w:rPr>
        <w:t xml:space="preserve"> büyük kısmı</w:t>
      </w:r>
      <w:r w:rsidR="00C15CBA" w:rsidRPr="00247141">
        <w:rPr>
          <w:sz w:val="24"/>
          <w:szCs w:val="24"/>
        </w:rPr>
        <w:t xml:space="preserve"> yargı erkinin çoğunlukla</w:t>
      </w:r>
      <w:r w:rsidR="005A26AC" w:rsidRPr="00247141">
        <w:rPr>
          <w:sz w:val="24"/>
          <w:szCs w:val="24"/>
        </w:rPr>
        <w:t xml:space="preserve"> otoriter/totaliter rejimlerde </w:t>
      </w:r>
      <w:r w:rsidR="00C15CBA" w:rsidRPr="00247141">
        <w:rPr>
          <w:sz w:val="24"/>
          <w:szCs w:val="24"/>
        </w:rPr>
        <w:t>baskı aracı olarak kullanıldığı örnekleri incelemektedir.</w:t>
      </w:r>
      <w:r w:rsidR="00C15CBA" w:rsidRPr="00247141">
        <w:rPr>
          <w:rStyle w:val="FootnoteReference"/>
          <w:sz w:val="24"/>
          <w:szCs w:val="24"/>
        </w:rPr>
        <w:footnoteReference w:id="6"/>
      </w:r>
      <w:r w:rsidR="005A26AC" w:rsidRPr="00247141">
        <w:rPr>
          <w:sz w:val="24"/>
          <w:szCs w:val="24"/>
        </w:rPr>
        <w:t xml:space="preserve"> Oysa</w:t>
      </w:r>
      <w:r w:rsidR="0028341F" w:rsidRPr="00247141">
        <w:rPr>
          <w:sz w:val="24"/>
          <w:szCs w:val="24"/>
        </w:rPr>
        <w:t>ki modern devlet</w:t>
      </w:r>
      <w:r w:rsidR="00CD196E" w:rsidRPr="00247141">
        <w:rPr>
          <w:sz w:val="24"/>
          <w:szCs w:val="24"/>
        </w:rPr>
        <w:t xml:space="preserve"> teorisi,</w:t>
      </w:r>
      <w:r w:rsidR="0028341F" w:rsidRPr="00247141">
        <w:rPr>
          <w:sz w:val="24"/>
          <w:szCs w:val="24"/>
        </w:rPr>
        <w:t xml:space="preserve">  artık yasama ve yürütme erki başta olmak üzere siyasal işleyişin yargı denetimine tabi olmasını rejimin merkezine oturtmaktadır.</w:t>
      </w:r>
      <w:r w:rsidR="0028341F" w:rsidRPr="00247141">
        <w:rPr>
          <w:rStyle w:val="FootnoteReference"/>
          <w:sz w:val="24"/>
          <w:szCs w:val="24"/>
        </w:rPr>
        <w:footnoteReference w:id="7"/>
      </w:r>
      <w:r w:rsidR="0028341F" w:rsidRPr="00247141">
        <w:rPr>
          <w:sz w:val="24"/>
          <w:szCs w:val="24"/>
        </w:rPr>
        <w:t xml:space="preserve"> </w:t>
      </w:r>
      <w:r w:rsidR="00411F22" w:rsidRPr="00247141">
        <w:rPr>
          <w:sz w:val="24"/>
          <w:szCs w:val="24"/>
        </w:rPr>
        <w:t>Bu noktada yargıç</w:t>
      </w:r>
      <w:r w:rsidR="004022C8" w:rsidRPr="00247141">
        <w:rPr>
          <w:sz w:val="24"/>
          <w:szCs w:val="24"/>
        </w:rPr>
        <w:t>,</w:t>
      </w:r>
      <w:r w:rsidR="00411F22" w:rsidRPr="00247141">
        <w:rPr>
          <w:sz w:val="24"/>
          <w:szCs w:val="24"/>
        </w:rPr>
        <w:t xml:space="preserve"> artık hukukun ne olduğunu sadece tek bir kanundan değil, anlam bütünlüğü olarak hukuk düzeninden hareketle açığa çıkarmakla yükümlüdür.</w:t>
      </w:r>
      <w:r w:rsidR="00411F22" w:rsidRPr="00247141">
        <w:rPr>
          <w:rStyle w:val="FootnoteReference"/>
          <w:sz w:val="24"/>
          <w:szCs w:val="24"/>
        </w:rPr>
        <w:footnoteReference w:id="8"/>
      </w:r>
      <w:r w:rsidR="00411F22" w:rsidRPr="00247141">
        <w:rPr>
          <w:sz w:val="24"/>
          <w:szCs w:val="24"/>
        </w:rPr>
        <w:t xml:space="preserve"> </w:t>
      </w:r>
      <w:r w:rsidR="00CD196E" w:rsidRPr="00247141">
        <w:rPr>
          <w:sz w:val="24"/>
          <w:szCs w:val="24"/>
        </w:rPr>
        <w:t xml:space="preserve">Buradan </w:t>
      </w:r>
      <w:r w:rsidR="004022C8" w:rsidRPr="00247141">
        <w:rPr>
          <w:sz w:val="24"/>
          <w:szCs w:val="24"/>
        </w:rPr>
        <w:t>yola çıkarak,</w:t>
      </w:r>
      <w:r w:rsidR="00411F22" w:rsidRPr="00247141">
        <w:rPr>
          <w:sz w:val="24"/>
          <w:szCs w:val="24"/>
        </w:rPr>
        <w:t xml:space="preserve"> h</w:t>
      </w:r>
      <w:r w:rsidR="004C7ACB" w:rsidRPr="00247141">
        <w:rPr>
          <w:sz w:val="24"/>
          <w:szCs w:val="24"/>
        </w:rPr>
        <w:t xml:space="preserve">akimin devletin kamu gücünü kullanan bir yetkili olarak </w:t>
      </w:r>
      <w:r w:rsidR="00F90AFC" w:rsidRPr="00247141">
        <w:rPr>
          <w:sz w:val="24"/>
          <w:szCs w:val="24"/>
        </w:rPr>
        <w:t xml:space="preserve"> (siyasal) bir </w:t>
      </w:r>
      <w:r w:rsidR="0020110D" w:rsidRPr="00247141">
        <w:rPr>
          <w:sz w:val="24"/>
          <w:szCs w:val="24"/>
        </w:rPr>
        <w:t>egemenlik</w:t>
      </w:r>
      <w:r w:rsidR="004C7ACB" w:rsidRPr="00247141">
        <w:rPr>
          <w:sz w:val="24"/>
          <w:szCs w:val="24"/>
        </w:rPr>
        <w:t xml:space="preserve"> </w:t>
      </w:r>
      <w:r w:rsidR="0020110D" w:rsidRPr="00247141">
        <w:rPr>
          <w:sz w:val="24"/>
          <w:szCs w:val="24"/>
        </w:rPr>
        <w:t>yetkisi</w:t>
      </w:r>
      <w:r w:rsidR="004C7ACB" w:rsidRPr="00247141">
        <w:rPr>
          <w:sz w:val="24"/>
          <w:szCs w:val="24"/>
        </w:rPr>
        <w:t xml:space="preserve"> kullandığı kuşkusuzdur.</w:t>
      </w:r>
      <w:r w:rsidR="00411F22" w:rsidRPr="00247141">
        <w:rPr>
          <w:rStyle w:val="FootnoteReference"/>
          <w:sz w:val="24"/>
          <w:szCs w:val="24"/>
        </w:rPr>
        <w:footnoteReference w:id="9"/>
      </w:r>
      <w:r w:rsidR="004C7ACB" w:rsidRPr="00247141">
        <w:rPr>
          <w:sz w:val="24"/>
          <w:szCs w:val="24"/>
        </w:rPr>
        <w:t xml:space="preserve"> Öyle ki b</w:t>
      </w:r>
      <w:r w:rsidR="0028341F" w:rsidRPr="00247141">
        <w:rPr>
          <w:sz w:val="24"/>
          <w:szCs w:val="24"/>
        </w:rPr>
        <w:t>u yönüyle artık bir ‘‘yargıçlar devletinden(</w:t>
      </w:r>
      <w:r w:rsidR="0028341F" w:rsidRPr="00247141">
        <w:rPr>
          <w:i/>
          <w:iCs/>
          <w:sz w:val="24"/>
          <w:szCs w:val="24"/>
        </w:rPr>
        <w:t>Richterstaat</w:t>
      </w:r>
      <w:r w:rsidR="0028341F" w:rsidRPr="00247141">
        <w:rPr>
          <w:sz w:val="24"/>
          <w:szCs w:val="24"/>
        </w:rPr>
        <w:t xml:space="preserve">)“  söz edilmektedir. </w:t>
      </w:r>
    </w:p>
    <w:p w14:paraId="6F0E17F8" w14:textId="77777777" w:rsidR="00811221" w:rsidRPr="00247141" w:rsidRDefault="00CD196E" w:rsidP="00811221">
      <w:pPr>
        <w:jc w:val="both"/>
        <w:rPr>
          <w:sz w:val="24"/>
          <w:szCs w:val="24"/>
        </w:rPr>
      </w:pPr>
      <w:r w:rsidRPr="00247141">
        <w:rPr>
          <w:sz w:val="24"/>
          <w:szCs w:val="24"/>
        </w:rPr>
        <w:lastRenderedPageBreak/>
        <w:t>İşte bu</w:t>
      </w:r>
      <w:r w:rsidR="00333075" w:rsidRPr="00247141">
        <w:rPr>
          <w:sz w:val="24"/>
          <w:szCs w:val="24"/>
        </w:rPr>
        <w:t xml:space="preserve"> </w:t>
      </w:r>
      <w:r w:rsidR="00A125E1" w:rsidRPr="00247141">
        <w:rPr>
          <w:sz w:val="24"/>
          <w:szCs w:val="24"/>
        </w:rPr>
        <w:t>kısa çalışmada</w:t>
      </w:r>
      <w:r w:rsidR="004022C8" w:rsidRPr="00247141">
        <w:rPr>
          <w:sz w:val="24"/>
          <w:szCs w:val="24"/>
        </w:rPr>
        <w:t>,</w:t>
      </w:r>
      <w:r w:rsidR="00FD4E18" w:rsidRPr="00247141">
        <w:rPr>
          <w:sz w:val="24"/>
          <w:szCs w:val="24"/>
        </w:rPr>
        <w:t xml:space="preserve"> ilk bölümde</w:t>
      </w:r>
      <w:r w:rsidR="00333075" w:rsidRPr="00247141">
        <w:rPr>
          <w:sz w:val="24"/>
          <w:szCs w:val="24"/>
        </w:rPr>
        <w:t xml:space="preserve"> başta Kıta Avrupası’ndaki örnekler olmak üzere</w:t>
      </w:r>
      <w:r w:rsidR="004022C8" w:rsidRPr="00247141">
        <w:rPr>
          <w:sz w:val="24"/>
          <w:szCs w:val="24"/>
        </w:rPr>
        <w:t>,</w:t>
      </w:r>
      <w:r w:rsidRPr="00247141">
        <w:rPr>
          <w:sz w:val="24"/>
          <w:szCs w:val="24"/>
        </w:rPr>
        <w:t xml:space="preserve"> karşılaştırmalı</w:t>
      </w:r>
      <w:r w:rsidR="00333075" w:rsidRPr="00247141">
        <w:rPr>
          <w:sz w:val="24"/>
          <w:szCs w:val="24"/>
        </w:rPr>
        <w:t xml:space="preserve"> </w:t>
      </w:r>
      <w:r w:rsidRPr="00247141">
        <w:rPr>
          <w:sz w:val="24"/>
          <w:szCs w:val="24"/>
        </w:rPr>
        <w:t>anayasa tarihinde</w:t>
      </w:r>
      <w:r w:rsidR="00294035" w:rsidRPr="00247141">
        <w:rPr>
          <w:sz w:val="24"/>
          <w:szCs w:val="24"/>
        </w:rPr>
        <w:t>,</w:t>
      </w:r>
      <w:r w:rsidRPr="00247141">
        <w:rPr>
          <w:sz w:val="24"/>
          <w:szCs w:val="24"/>
        </w:rPr>
        <w:t xml:space="preserve"> </w:t>
      </w:r>
      <w:r w:rsidR="00333075" w:rsidRPr="00247141">
        <w:rPr>
          <w:sz w:val="24"/>
          <w:szCs w:val="24"/>
        </w:rPr>
        <w:t xml:space="preserve">hukuk devletinin ortadan kaldırıldığı durumlarda </w:t>
      </w:r>
      <w:r w:rsidR="00E36871" w:rsidRPr="00247141">
        <w:rPr>
          <w:sz w:val="24"/>
          <w:szCs w:val="24"/>
        </w:rPr>
        <w:t>yargıçların</w:t>
      </w:r>
      <w:r w:rsidRPr="00247141">
        <w:rPr>
          <w:sz w:val="24"/>
          <w:szCs w:val="24"/>
        </w:rPr>
        <w:t xml:space="preserve"> bir siyasi erk kullanıcısı olarak</w:t>
      </w:r>
      <w:r w:rsidR="00E36871" w:rsidRPr="00247141">
        <w:rPr>
          <w:sz w:val="24"/>
          <w:szCs w:val="24"/>
        </w:rPr>
        <w:t xml:space="preserve"> hukuk devletinin aşınmasına ne ölçüde direnç </w:t>
      </w:r>
      <w:r w:rsidR="00411F22" w:rsidRPr="00247141">
        <w:rPr>
          <w:sz w:val="24"/>
          <w:szCs w:val="24"/>
        </w:rPr>
        <w:t>gösterebileceği</w:t>
      </w:r>
      <w:r w:rsidR="00E36871" w:rsidRPr="00247141">
        <w:rPr>
          <w:sz w:val="24"/>
          <w:szCs w:val="24"/>
        </w:rPr>
        <w:t xml:space="preserve">; </w:t>
      </w:r>
      <w:r w:rsidR="00411F22" w:rsidRPr="00247141">
        <w:rPr>
          <w:sz w:val="24"/>
          <w:szCs w:val="24"/>
        </w:rPr>
        <w:t xml:space="preserve">yargının bu direncin boyutuna göre </w:t>
      </w:r>
      <w:r w:rsidR="00E36871" w:rsidRPr="00247141">
        <w:rPr>
          <w:sz w:val="24"/>
          <w:szCs w:val="24"/>
        </w:rPr>
        <w:t>hangi kırılma noktalarında hukuk devletinin çöküşün</w:t>
      </w:r>
      <w:r w:rsidR="00411F22" w:rsidRPr="00247141">
        <w:rPr>
          <w:sz w:val="24"/>
          <w:szCs w:val="24"/>
        </w:rPr>
        <w:t xml:space="preserve">e </w:t>
      </w:r>
      <w:r w:rsidR="00294035" w:rsidRPr="00247141">
        <w:rPr>
          <w:sz w:val="24"/>
          <w:szCs w:val="24"/>
        </w:rPr>
        <w:t>neden olduğu</w:t>
      </w:r>
      <w:r w:rsidR="00E36871" w:rsidRPr="00247141">
        <w:rPr>
          <w:sz w:val="24"/>
          <w:szCs w:val="24"/>
        </w:rPr>
        <w:t xml:space="preserve"> </w:t>
      </w:r>
      <w:r w:rsidR="00C15CBA" w:rsidRPr="00247141">
        <w:rPr>
          <w:sz w:val="24"/>
          <w:szCs w:val="24"/>
        </w:rPr>
        <w:t>yahut</w:t>
      </w:r>
      <w:r w:rsidR="00411F22" w:rsidRPr="00247141">
        <w:rPr>
          <w:sz w:val="24"/>
          <w:szCs w:val="24"/>
        </w:rPr>
        <w:t xml:space="preserve"> tam aksine</w:t>
      </w:r>
      <w:r w:rsidRPr="00247141">
        <w:rPr>
          <w:sz w:val="24"/>
          <w:szCs w:val="24"/>
        </w:rPr>
        <w:t xml:space="preserve"> yargının</w:t>
      </w:r>
      <w:r w:rsidR="00411F22" w:rsidRPr="00247141">
        <w:rPr>
          <w:sz w:val="24"/>
          <w:szCs w:val="24"/>
        </w:rPr>
        <w:t xml:space="preserve"> bu çöküşü</w:t>
      </w:r>
      <w:r w:rsidRPr="00247141">
        <w:rPr>
          <w:sz w:val="24"/>
          <w:szCs w:val="24"/>
        </w:rPr>
        <w:t xml:space="preserve"> hangi durumlarda</w:t>
      </w:r>
      <w:r w:rsidR="00C15CBA" w:rsidRPr="00247141">
        <w:rPr>
          <w:sz w:val="24"/>
          <w:szCs w:val="24"/>
        </w:rPr>
        <w:t xml:space="preserve"> </w:t>
      </w:r>
      <w:r w:rsidR="00411F22" w:rsidRPr="00247141">
        <w:rPr>
          <w:sz w:val="24"/>
          <w:szCs w:val="24"/>
        </w:rPr>
        <w:t>engelle</w:t>
      </w:r>
      <w:r w:rsidRPr="00247141">
        <w:rPr>
          <w:sz w:val="24"/>
          <w:szCs w:val="24"/>
        </w:rPr>
        <w:t>yebildiği</w:t>
      </w:r>
      <w:r w:rsidR="00C15CBA" w:rsidRPr="00247141">
        <w:rPr>
          <w:sz w:val="24"/>
          <w:szCs w:val="24"/>
        </w:rPr>
        <w:t xml:space="preserve"> </w:t>
      </w:r>
      <w:r w:rsidR="00E36871" w:rsidRPr="00247141">
        <w:rPr>
          <w:sz w:val="24"/>
          <w:szCs w:val="24"/>
        </w:rPr>
        <w:t>tartışılacaktır.</w:t>
      </w:r>
      <w:r w:rsidR="00FD4E18" w:rsidRPr="00247141">
        <w:rPr>
          <w:sz w:val="24"/>
          <w:szCs w:val="24"/>
        </w:rPr>
        <w:t xml:space="preserve"> </w:t>
      </w:r>
      <w:r w:rsidR="00811221" w:rsidRPr="00247141">
        <w:rPr>
          <w:sz w:val="24"/>
          <w:szCs w:val="24"/>
        </w:rPr>
        <w:t>İkinci bölümde ise hukuk devletinin yeniden inşasında yargıçlara düşen rol tartışılacaktır. Bu rol birincil olarak hukuksuzluk rejimlerinin(</w:t>
      </w:r>
      <w:r w:rsidR="00811221" w:rsidRPr="00247141">
        <w:rPr>
          <w:i/>
          <w:iCs/>
          <w:sz w:val="24"/>
          <w:szCs w:val="24"/>
        </w:rPr>
        <w:t>Unrechtsstaat</w:t>
      </w:r>
      <w:r w:rsidR="00811221" w:rsidRPr="00247141">
        <w:rPr>
          <w:sz w:val="24"/>
          <w:szCs w:val="24"/>
        </w:rPr>
        <w:t>)  sona ermesi sonrasında geçmişle yüzleşme(</w:t>
      </w:r>
      <w:r w:rsidR="00811221" w:rsidRPr="00247141">
        <w:rPr>
          <w:i/>
          <w:iCs/>
          <w:sz w:val="24"/>
          <w:szCs w:val="24"/>
        </w:rPr>
        <w:t>Vergangenheitsbewaeltigung</w:t>
      </w:r>
      <w:r w:rsidR="00811221" w:rsidRPr="00247141">
        <w:rPr>
          <w:sz w:val="24"/>
          <w:szCs w:val="24"/>
        </w:rPr>
        <w:t>)  bağlamında eski rejimin sorumlularının yargılanarak yeni kurulan siyasal rejimin meşruiyet algısının genişlemesini sağlamaktır. İkincil olarak ise hukukun üstünlüğü ve temel haklara dayanan bir siyasal rejim kullanmak açısından yargıca  düşen rol tartışılacaktır.</w:t>
      </w:r>
    </w:p>
    <w:p w14:paraId="50873617" w14:textId="14AB0366" w:rsidR="00811221" w:rsidRPr="00247141" w:rsidRDefault="00811221" w:rsidP="00811221">
      <w:pPr>
        <w:jc w:val="both"/>
        <w:rPr>
          <w:sz w:val="24"/>
          <w:szCs w:val="24"/>
        </w:rPr>
      </w:pPr>
      <w:r w:rsidRPr="00247141">
        <w:rPr>
          <w:sz w:val="24"/>
          <w:szCs w:val="24"/>
        </w:rPr>
        <w:t>Çalışmada son olarak yargıçların hukuk devletinin aşınmasında rol oynamasını engellemek için ne tür hukuki mekanizmalara yer verilebileceği tartışılacaktır. Bu bağlamda Federal Alman ceza yargısındaki ‘‘hukukun kasten kötüye kullanılması (</w:t>
      </w:r>
      <w:r w:rsidRPr="00247141">
        <w:rPr>
          <w:i/>
          <w:iCs/>
          <w:sz w:val="24"/>
          <w:szCs w:val="24"/>
        </w:rPr>
        <w:t>Rechtsbeugung</w:t>
      </w:r>
      <w:r w:rsidRPr="00247141">
        <w:rPr>
          <w:sz w:val="24"/>
          <w:szCs w:val="24"/>
        </w:rPr>
        <w:t>)</w:t>
      </w:r>
      <w:r w:rsidRPr="00247141">
        <w:rPr>
          <w:rStyle w:val="FootnoteReference"/>
          <w:sz w:val="24"/>
          <w:szCs w:val="24"/>
        </w:rPr>
        <w:footnoteReference w:id="10"/>
      </w:r>
      <w:r w:rsidRPr="00247141">
        <w:rPr>
          <w:sz w:val="24"/>
          <w:szCs w:val="24"/>
        </w:rPr>
        <w:t xml:space="preserve"> kurumu ve bu kuruma </w:t>
      </w:r>
      <w:r w:rsidR="00704420" w:rsidRPr="00247141">
        <w:rPr>
          <w:sz w:val="24"/>
          <w:szCs w:val="24"/>
        </w:rPr>
        <w:t>yüksek mahkemelerin</w:t>
      </w:r>
      <w:r w:rsidRPr="00247141">
        <w:rPr>
          <w:sz w:val="24"/>
          <w:szCs w:val="24"/>
        </w:rPr>
        <w:t xml:space="preserve"> verdiği anlam bir örnek olarak ele alınacaktır.</w:t>
      </w:r>
    </w:p>
    <w:p w14:paraId="4CC0E8C1" w14:textId="35905E86" w:rsidR="00CA0DBB" w:rsidRPr="00247141" w:rsidRDefault="00CA0DBB" w:rsidP="00811221">
      <w:pPr>
        <w:pStyle w:val="ListParagraph"/>
        <w:numPr>
          <w:ilvl w:val="0"/>
          <w:numId w:val="1"/>
        </w:numPr>
        <w:jc w:val="both"/>
        <w:rPr>
          <w:b/>
          <w:bCs/>
          <w:sz w:val="24"/>
          <w:szCs w:val="24"/>
        </w:rPr>
      </w:pPr>
      <w:r w:rsidRPr="00247141">
        <w:rPr>
          <w:b/>
          <w:bCs/>
          <w:sz w:val="24"/>
          <w:szCs w:val="24"/>
        </w:rPr>
        <w:t xml:space="preserve">Hukuk Devletinin Aşınmasında </w:t>
      </w:r>
      <w:r w:rsidR="0019688A" w:rsidRPr="00247141">
        <w:rPr>
          <w:b/>
          <w:bCs/>
          <w:sz w:val="24"/>
          <w:szCs w:val="24"/>
        </w:rPr>
        <w:t>Yargının</w:t>
      </w:r>
      <w:r w:rsidRPr="00247141">
        <w:rPr>
          <w:b/>
          <w:bCs/>
          <w:sz w:val="24"/>
          <w:szCs w:val="24"/>
        </w:rPr>
        <w:t xml:space="preserve"> Rolü</w:t>
      </w:r>
      <w:r w:rsidR="0019688A" w:rsidRPr="00247141">
        <w:rPr>
          <w:b/>
          <w:bCs/>
          <w:sz w:val="24"/>
          <w:szCs w:val="24"/>
        </w:rPr>
        <w:t xml:space="preserve"> Ve Direnci</w:t>
      </w:r>
    </w:p>
    <w:p w14:paraId="13DFD82F" w14:textId="631250E2" w:rsidR="00F25124" w:rsidRPr="00247141" w:rsidRDefault="00205418" w:rsidP="00F25124">
      <w:pPr>
        <w:jc w:val="both"/>
        <w:rPr>
          <w:sz w:val="24"/>
          <w:szCs w:val="24"/>
        </w:rPr>
      </w:pPr>
      <w:r w:rsidRPr="00247141">
        <w:rPr>
          <w:sz w:val="24"/>
          <w:szCs w:val="24"/>
        </w:rPr>
        <w:t>Hukuk devletinin aşınmasınd</w:t>
      </w:r>
      <w:r w:rsidR="00554A23" w:rsidRPr="00247141">
        <w:rPr>
          <w:sz w:val="24"/>
          <w:szCs w:val="24"/>
        </w:rPr>
        <w:t xml:space="preserve">a </w:t>
      </w:r>
      <w:r w:rsidRPr="00247141">
        <w:rPr>
          <w:sz w:val="24"/>
          <w:szCs w:val="24"/>
        </w:rPr>
        <w:t xml:space="preserve"> </w:t>
      </w:r>
      <w:r w:rsidR="004D0FA2" w:rsidRPr="00247141">
        <w:rPr>
          <w:sz w:val="24"/>
          <w:szCs w:val="24"/>
        </w:rPr>
        <w:t>yargının</w:t>
      </w:r>
      <w:r w:rsidRPr="00247141">
        <w:rPr>
          <w:sz w:val="24"/>
          <w:szCs w:val="24"/>
        </w:rPr>
        <w:t xml:space="preserve"> rolüne</w:t>
      </w:r>
      <w:r w:rsidR="00554A23" w:rsidRPr="00247141">
        <w:rPr>
          <w:sz w:val="24"/>
          <w:szCs w:val="24"/>
        </w:rPr>
        <w:t xml:space="preserve"> karşılaştırmalı hukuk öğretisi</w:t>
      </w:r>
      <w:r w:rsidR="00551D30" w:rsidRPr="00247141">
        <w:rPr>
          <w:sz w:val="24"/>
          <w:szCs w:val="24"/>
        </w:rPr>
        <w:t>nde</w:t>
      </w:r>
      <w:r w:rsidRPr="00247141">
        <w:rPr>
          <w:sz w:val="24"/>
          <w:szCs w:val="24"/>
        </w:rPr>
        <w:t xml:space="preserve"> iki yönlü yaklaşıldığı gözlenebilir: Bunlardan ilki yargıçların </w:t>
      </w:r>
      <w:r w:rsidR="00554A23" w:rsidRPr="00247141">
        <w:rPr>
          <w:sz w:val="24"/>
          <w:szCs w:val="24"/>
        </w:rPr>
        <w:t xml:space="preserve"> liberal demokrasilerin korunmasında merkezi bir rol oynadığını ifade etmekteyken</w:t>
      </w:r>
      <w:r w:rsidR="00554A23" w:rsidRPr="00247141">
        <w:rPr>
          <w:rStyle w:val="FootnoteReference"/>
          <w:sz w:val="24"/>
          <w:szCs w:val="24"/>
        </w:rPr>
        <w:footnoteReference w:id="11"/>
      </w:r>
      <w:r w:rsidR="00554A23" w:rsidRPr="00247141">
        <w:rPr>
          <w:sz w:val="24"/>
          <w:szCs w:val="24"/>
        </w:rPr>
        <w:t xml:space="preserve">, diğer bir görüş ise tam aksine </w:t>
      </w:r>
      <w:r w:rsidR="004D0FA2" w:rsidRPr="00247141">
        <w:rPr>
          <w:sz w:val="24"/>
          <w:szCs w:val="24"/>
        </w:rPr>
        <w:t>yargının</w:t>
      </w:r>
      <w:r w:rsidR="00554A23" w:rsidRPr="00247141">
        <w:rPr>
          <w:sz w:val="24"/>
          <w:szCs w:val="24"/>
        </w:rPr>
        <w:t xml:space="preserve"> halihazırda gerileme yaşayan bir hukuk devletinde bu gerilemeyi durduramayacağını; ancak bununla beraber otoriter/popülist hareketlerin kökleşmesinde ise bir faktör olabileceğini belirtmektedir.</w:t>
      </w:r>
      <w:r w:rsidR="00E76AC9" w:rsidRPr="00247141">
        <w:rPr>
          <w:sz w:val="24"/>
          <w:szCs w:val="24"/>
        </w:rPr>
        <w:t xml:space="preserve"> Örneğin „suistimalci anayasacılık“ tezinin  mimarı Landau</w:t>
      </w:r>
      <w:r w:rsidR="00551D30" w:rsidRPr="00247141">
        <w:rPr>
          <w:sz w:val="24"/>
          <w:szCs w:val="24"/>
        </w:rPr>
        <w:t>,</w:t>
      </w:r>
      <w:r w:rsidR="005D4480" w:rsidRPr="00247141">
        <w:rPr>
          <w:sz w:val="24"/>
          <w:szCs w:val="24"/>
        </w:rPr>
        <w:t xml:space="preserve"> </w:t>
      </w:r>
      <w:r w:rsidR="004D2CC5" w:rsidRPr="00247141">
        <w:rPr>
          <w:sz w:val="24"/>
          <w:szCs w:val="24"/>
        </w:rPr>
        <w:t>Prof. Dr Rosalind Dixon ile birlikte yazdığı makalesinde</w:t>
      </w:r>
      <w:r w:rsidR="00E76AC9" w:rsidRPr="00247141">
        <w:rPr>
          <w:sz w:val="24"/>
          <w:szCs w:val="24"/>
        </w:rPr>
        <w:t>, suistimalci anayasacılığın en önemli faktörlerinden birinin de yargı olduğunu belirterek bu biçimdek</w:t>
      </w:r>
      <w:r w:rsidR="004D2CC5" w:rsidRPr="00247141">
        <w:rPr>
          <w:sz w:val="24"/>
          <w:szCs w:val="24"/>
        </w:rPr>
        <w:t>i</w:t>
      </w:r>
      <w:r w:rsidR="00E76AC9" w:rsidRPr="00247141">
        <w:rPr>
          <w:sz w:val="24"/>
          <w:szCs w:val="24"/>
        </w:rPr>
        <w:t xml:space="preserve"> bir yargının da suistimalci yargı olduğunu belirtmektedir. Landau’ya göre suistimalci  yargı şu şekilde tanımlanabilir: Eğer yargı</w:t>
      </w:r>
      <w:r w:rsidR="00551D30" w:rsidRPr="00247141">
        <w:rPr>
          <w:sz w:val="24"/>
          <w:szCs w:val="24"/>
        </w:rPr>
        <w:t>,</w:t>
      </w:r>
      <w:r w:rsidR="00E76AC9" w:rsidRPr="00247141">
        <w:rPr>
          <w:sz w:val="24"/>
          <w:szCs w:val="24"/>
        </w:rPr>
        <w:t xml:space="preserve"> seçimli demokrasi</w:t>
      </w:r>
      <w:r w:rsidR="00551D30" w:rsidRPr="00247141">
        <w:rPr>
          <w:sz w:val="24"/>
          <w:szCs w:val="24"/>
        </w:rPr>
        <w:t>yi en küçük</w:t>
      </w:r>
      <w:r w:rsidR="00675110" w:rsidRPr="00247141">
        <w:rPr>
          <w:sz w:val="24"/>
          <w:szCs w:val="24"/>
        </w:rPr>
        <w:t xml:space="preserve"> çekirdeğine</w:t>
      </w:r>
      <w:r w:rsidR="00551D30" w:rsidRPr="00247141">
        <w:rPr>
          <w:sz w:val="24"/>
          <w:szCs w:val="24"/>
        </w:rPr>
        <w:t xml:space="preserve"> </w:t>
      </w:r>
      <w:r w:rsidR="00675110" w:rsidRPr="00247141">
        <w:rPr>
          <w:sz w:val="24"/>
          <w:szCs w:val="24"/>
        </w:rPr>
        <w:t>(</w:t>
      </w:r>
      <w:r w:rsidR="00675110" w:rsidRPr="00247141">
        <w:rPr>
          <w:i/>
          <w:iCs/>
          <w:sz w:val="24"/>
          <w:szCs w:val="24"/>
        </w:rPr>
        <w:t>minimum core</w:t>
      </w:r>
      <w:r w:rsidR="00675110" w:rsidRPr="00247141">
        <w:rPr>
          <w:sz w:val="24"/>
          <w:szCs w:val="24"/>
        </w:rPr>
        <w:t>) kadar kasıtlı olarak dinamitliyorsa  burada artık suistimalci yargıdan söz edilebilecektir.</w:t>
      </w:r>
      <w:r w:rsidR="00675110" w:rsidRPr="00247141">
        <w:rPr>
          <w:rStyle w:val="FootnoteReference"/>
          <w:sz w:val="24"/>
          <w:szCs w:val="24"/>
        </w:rPr>
        <w:footnoteReference w:id="12"/>
      </w:r>
      <w:r w:rsidR="00F44FD2" w:rsidRPr="00247141">
        <w:rPr>
          <w:sz w:val="24"/>
          <w:szCs w:val="24"/>
        </w:rPr>
        <w:t xml:space="preserve"> Burada şüphesiz o yargıçların ideolojik olarak seçimli demokrasiyi ortadan kaldıranlarla özdeşliği olduğu kadar, </w:t>
      </w:r>
      <w:r w:rsidR="00373433" w:rsidRPr="00247141">
        <w:rPr>
          <w:sz w:val="24"/>
          <w:szCs w:val="24"/>
        </w:rPr>
        <w:t xml:space="preserve">bu </w:t>
      </w:r>
      <w:r w:rsidR="00F44FD2" w:rsidRPr="00247141">
        <w:rPr>
          <w:sz w:val="24"/>
          <w:szCs w:val="24"/>
        </w:rPr>
        <w:t xml:space="preserve"> yargının paketlenmesi</w:t>
      </w:r>
      <w:r w:rsidR="00373433" w:rsidRPr="00247141">
        <w:rPr>
          <w:sz w:val="24"/>
          <w:szCs w:val="24"/>
        </w:rPr>
        <w:t>/ele geçirilmesi(</w:t>
      </w:r>
      <w:r w:rsidR="00373433" w:rsidRPr="00247141">
        <w:rPr>
          <w:i/>
          <w:iCs/>
          <w:sz w:val="24"/>
          <w:szCs w:val="24"/>
        </w:rPr>
        <w:t>court packing</w:t>
      </w:r>
      <w:r w:rsidR="00373433" w:rsidRPr="00247141">
        <w:rPr>
          <w:sz w:val="24"/>
          <w:szCs w:val="24"/>
        </w:rPr>
        <w:t>)</w:t>
      </w:r>
      <w:r w:rsidR="00F44FD2" w:rsidRPr="00247141">
        <w:rPr>
          <w:sz w:val="24"/>
          <w:szCs w:val="24"/>
        </w:rPr>
        <w:t xml:space="preserve"> ya da aşağıda değinilecek gibi „geri çekilme/kendini sınırlaması“ gibi durumlar da</w:t>
      </w:r>
      <w:r w:rsidR="00373433" w:rsidRPr="00247141">
        <w:rPr>
          <w:sz w:val="24"/>
          <w:szCs w:val="24"/>
        </w:rPr>
        <w:t xml:space="preserve"> buna sebep olmuş</w:t>
      </w:r>
      <w:r w:rsidR="00F44FD2" w:rsidRPr="00247141">
        <w:rPr>
          <w:sz w:val="24"/>
          <w:szCs w:val="24"/>
        </w:rPr>
        <w:t xml:space="preserve"> olabilir.</w:t>
      </w:r>
      <w:r w:rsidR="00583DD0" w:rsidRPr="00247141">
        <w:rPr>
          <w:rStyle w:val="FootnoteReference"/>
          <w:sz w:val="24"/>
          <w:szCs w:val="24"/>
        </w:rPr>
        <w:footnoteReference w:id="13"/>
      </w:r>
      <w:r w:rsidR="00A62673" w:rsidRPr="00247141">
        <w:rPr>
          <w:sz w:val="24"/>
          <w:szCs w:val="24"/>
        </w:rPr>
        <w:t xml:space="preserve"> Benzer şekilde  Tamir Mustafa ve Tom Ginsburg, otoriter rejimlerin  yargıyı her zaman engel olarak görmediklerini; hatta çoğunlukla yargıyı siyasallaştırmak yerine çoğunlukla siyasal olanı yargısallaştırmakla otoriter rejimi kökleştirmeyi tercih ettiklerini ifade etmektedirler.</w:t>
      </w:r>
      <w:r w:rsidR="00A62673" w:rsidRPr="00247141">
        <w:rPr>
          <w:rStyle w:val="FootnoteReference"/>
          <w:sz w:val="24"/>
          <w:szCs w:val="24"/>
        </w:rPr>
        <w:footnoteReference w:id="14"/>
      </w:r>
      <w:r w:rsidR="00A62673" w:rsidRPr="00247141">
        <w:rPr>
          <w:sz w:val="24"/>
          <w:szCs w:val="24"/>
        </w:rPr>
        <w:t xml:space="preserve"> Böylece</w:t>
      </w:r>
      <w:r w:rsidR="00C41802" w:rsidRPr="00247141">
        <w:rPr>
          <w:sz w:val="24"/>
          <w:szCs w:val="24"/>
        </w:rPr>
        <w:t xml:space="preserve"> yargı hem otoriter rejim adına toplumdaki sosyal kontrolü sağlamakta</w:t>
      </w:r>
      <w:r w:rsidR="00C41802" w:rsidRPr="00247141">
        <w:rPr>
          <w:rStyle w:val="FootnoteReference"/>
          <w:sz w:val="24"/>
          <w:szCs w:val="24"/>
        </w:rPr>
        <w:footnoteReference w:id="15"/>
      </w:r>
      <w:r w:rsidR="00C41802" w:rsidRPr="00247141">
        <w:rPr>
          <w:sz w:val="24"/>
          <w:szCs w:val="24"/>
        </w:rPr>
        <w:t xml:space="preserve">, </w:t>
      </w:r>
      <w:r w:rsidR="00373433" w:rsidRPr="00247141">
        <w:rPr>
          <w:sz w:val="24"/>
          <w:szCs w:val="24"/>
        </w:rPr>
        <w:t xml:space="preserve">hem de </w:t>
      </w:r>
      <w:r w:rsidR="00C41802" w:rsidRPr="00247141">
        <w:rPr>
          <w:sz w:val="24"/>
          <w:szCs w:val="24"/>
        </w:rPr>
        <w:t>otoriter rejimlerin eylemleri için iç kamuoyunda</w:t>
      </w:r>
      <w:r w:rsidR="00551D30" w:rsidRPr="00247141">
        <w:rPr>
          <w:sz w:val="24"/>
          <w:szCs w:val="24"/>
        </w:rPr>
        <w:t>n</w:t>
      </w:r>
      <w:r w:rsidR="00C41802" w:rsidRPr="00247141">
        <w:rPr>
          <w:sz w:val="24"/>
          <w:szCs w:val="24"/>
        </w:rPr>
        <w:t xml:space="preserve"> öte dış kamuoyuna meşruluk sağlamakta ve </w:t>
      </w:r>
      <w:r w:rsidR="00C41802" w:rsidRPr="00247141">
        <w:rPr>
          <w:sz w:val="24"/>
          <w:szCs w:val="24"/>
        </w:rPr>
        <w:lastRenderedPageBreak/>
        <w:t>en önemlisi tart</w:t>
      </w:r>
      <w:r w:rsidR="00551D30" w:rsidRPr="00247141">
        <w:rPr>
          <w:sz w:val="24"/>
          <w:szCs w:val="24"/>
        </w:rPr>
        <w:t xml:space="preserve">ışmalı siyasal değişikliklerin </w:t>
      </w:r>
      <w:r w:rsidR="00C41802" w:rsidRPr="00247141">
        <w:rPr>
          <w:sz w:val="24"/>
          <w:szCs w:val="24"/>
        </w:rPr>
        <w:t>hukuki kurumlara aktarılarak</w:t>
      </w:r>
      <w:r w:rsidR="00551D30" w:rsidRPr="00247141">
        <w:rPr>
          <w:sz w:val="24"/>
          <w:szCs w:val="24"/>
        </w:rPr>
        <w:t>,</w:t>
      </w:r>
      <w:r w:rsidR="00C41802" w:rsidRPr="00247141">
        <w:rPr>
          <w:sz w:val="24"/>
          <w:szCs w:val="24"/>
        </w:rPr>
        <w:t xml:space="preserve"> onların </w:t>
      </w:r>
      <w:r w:rsidR="00077002" w:rsidRPr="00247141">
        <w:rPr>
          <w:sz w:val="24"/>
          <w:szCs w:val="24"/>
        </w:rPr>
        <w:t>meşrulaştırılmasını</w:t>
      </w:r>
      <w:r w:rsidR="00C41802" w:rsidRPr="00247141">
        <w:rPr>
          <w:sz w:val="24"/>
          <w:szCs w:val="24"/>
        </w:rPr>
        <w:t xml:space="preserve"> sağlamaktadır.</w:t>
      </w:r>
      <w:r w:rsidR="00C41802" w:rsidRPr="00247141">
        <w:rPr>
          <w:rStyle w:val="FootnoteReference"/>
          <w:sz w:val="24"/>
          <w:szCs w:val="24"/>
        </w:rPr>
        <w:footnoteReference w:id="16"/>
      </w:r>
      <w:r w:rsidR="00C41802" w:rsidRPr="00247141">
        <w:rPr>
          <w:sz w:val="24"/>
          <w:szCs w:val="24"/>
        </w:rPr>
        <w:t xml:space="preserve"> Yazarların bir başka önemli tespiti ise </w:t>
      </w:r>
      <w:r w:rsidR="00CD13E1" w:rsidRPr="00247141">
        <w:rPr>
          <w:sz w:val="24"/>
          <w:szCs w:val="24"/>
        </w:rPr>
        <w:t>özellikle otoriter rejimlerde hakların koruyucusu olması gereken ve reform odaklı olan yarg</w:t>
      </w:r>
      <w:r w:rsidR="00551D30" w:rsidRPr="00247141">
        <w:rPr>
          <w:sz w:val="24"/>
          <w:szCs w:val="24"/>
        </w:rPr>
        <w:t>ıçların/yargı organların tutumudur.</w:t>
      </w:r>
      <w:r w:rsidR="00CD13E1" w:rsidRPr="00247141">
        <w:rPr>
          <w:sz w:val="24"/>
          <w:szCs w:val="24"/>
        </w:rPr>
        <w:t xml:space="preserve"> Bu noktada Hüsnü Mübarek dönemi Mısır Anayasa Mahkemesi’ni ve Markos rejimi dönemi Filipinler Yüksek Mahkemesi‘ni örnek gösteren yazarlar, her iki yüksek mahkemenin de temel hak odaklı  kararlar vermekle beraber rejimin esas unsuru olan </w:t>
      </w:r>
      <w:r w:rsidR="006505F7" w:rsidRPr="00247141">
        <w:rPr>
          <w:sz w:val="24"/>
          <w:szCs w:val="24"/>
        </w:rPr>
        <w:t xml:space="preserve"> olağanüstü hal hukuku ya da güvenlik yasalarına ilişkin tamamen tepkisiz kaldıklarını belirtmişlerdir.</w:t>
      </w:r>
      <w:r w:rsidR="005D569A" w:rsidRPr="00247141">
        <w:rPr>
          <w:rStyle w:val="FootnoteReference"/>
          <w:sz w:val="24"/>
          <w:szCs w:val="24"/>
        </w:rPr>
        <w:footnoteReference w:id="17"/>
      </w:r>
    </w:p>
    <w:p w14:paraId="38D68A8F" w14:textId="416FF47A" w:rsidR="00303A3B" w:rsidRPr="00247141" w:rsidRDefault="00F348AF" w:rsidP="003E11FB">
      <w:pPr>
        <w:jc w:val="both"/>
        <w:rPr>
          <w:sz w:val="24"/>
          <w:szCs w:val="24"/>
        </w:rPr>
      </w:pPr>
      <w:r w:rsidRPr="00247141">
        <w:rPr>
          <w:sz w:val="24"/>
          <w:szCs w:val="24"/>
        </w:rPr>
        <w:t xml:space="preserve">Genç demokrasilerde </w:t>
      </w:r>
      <w:r w:rsidR="00077002" w:rsidRPr="00247141">
        <w:rPr>
          <w:sz w:val="24"/>
          <w:szCs w:val="24"/>
        </w:rPr>
        <w:t xml:space="preserve"> ise </w:t>
      </w:r>
      <w:r w:rsidRPr="00247141">
        <w:rPr>
          <w:sz w:val="24"/>
          <w:szCs w:val="24"/>
        </w:rPr>
        <w:t>başta Anayasa Mahkemesi olmak üzere</w:t>
      </w:r>
      <w:r w:rsidR="004D2504" w:rsidRPr="00247141">
        <w:rPr>
          <w:sz w:val="24"/>
          <w:szCs w:val="24"/>
        </w:rPr>
        <w:t xml:space="preserve"> „3</w:t>
      </w:r>
      <w:r w:rsidR="004D2504" w:rsidRPr="00247141">
        <w:rPr>
          <w:i/>
          <w:iCs/>
          <w:sz w:val="24"/>
          <w:szCs w:val="24"/>
        </w:rPr>
        <w:t>. dalga mahkemeler</w:t>
      </w:r>
      <w:r w:rsidR="00B035CC" w:rsidRPr="00247141">
        <w:rPr>
          <w:i/>
          <w:iCs/>
          <w:sz w:val="24"/>
          <w:szCs w:val="24"/>
        </w:rPr>
        <w:t>(third wave courts)</w:t>
      </w:r>
      <w:r w:rsidR="004D2504" w:rsidRPr="00247141">
        <w:rPr>
          <w:sz w:val="24"/>
          <w:szCs w:val="24"/>
        </w:rPr>
        <w:t>“ olarak addedilen</w:t>
      </w:r>
      <w:r w:rsidRPr="00247141">
        <w:rPr>
          <w:sz w:val="24"/>
          <w:szCs w:val="24"/>
        </w:rPr>
        <w:t xml:space="preserve"> yüksek mahkemelerden beklentinin çok yüksek olmaması gerektiği ifade edilmekteyse de </w:t>
      </w:r>
      <w:r w:rsidR="00303A3B" w:rsidRPr="00247141">
        <w:rPr>
          <w:sz w:val="24"/>
          <w:szCs w:val="24"/>
        </w:rPr>
        <w:t xml:space="preserve"> özellikle  siyasi kurumların zayıf olduğu dönemlerde yargı</w:t>
      </w:r>
      <w:r w:rsidR="007F7196" w:rsidRPr="00247141">
        <w:rPr>
          <w:sz w:val="24"/>
          <w:szCs w:val="24"/>
        </w:rPr>
        <w:t xml:space="preserve">cın güçlendiğini </w:t>
      </w:r>
      <w:r w:rsidR="00077002" w:rsidRPr="00247141">
        <w:rPr>
          <w:sz w:val="24"/>
          <w:szCs w:val="24"/>
        </w:rPr>
        <w:t>görülmektedir</w:t>
      </w:r>
      <w:r w:rsidR="007F7196" w:rsidRPr="00247141">
        <w:rPr>
          <w:sz w:val="24"/>
          <w:szCs w:val="24"/>
        </w:rPr>
        <w:t>.</w:t>
      </w:r>
      <w:r w:rsidR="007F7196" w:rsidRPr="00247141">
        <w:rPr>
          <w:rStyle w:val="FootnoteReference"/>
          <w:sz w:val="24"/>
          <w:szCs w:val="24"/>
        </w:rPr>
        <w:footnoteReference w:id="18"/>
      </w:r>
    </w:p>
    <w:p w14:paraId="339562E6" w14:textId="101E8EF0" w:rsidR="001134D9" w:rsidRPr="00247141" w:rsidRDefault="00551D30" w:rsidP="003E11FB">
      <w:pPr>
        <w:jc w:val="both"/>
        <w:rPr>
          <w:sz w:val="24"/>
          <w:szCs w:val="24"/>
        </w:rPr>
      </w:pPr>
      <w:r w:rsidRPr="00247141">
        <w:rPr>
          <w:sz w:val="24"/>
          <w:szCs w:val="24"/>
        </w:rPr>
        <w:t>Y</w:t>
      </w:r>
      <w:r w:rsidR="00F348AF" w:rsidRPr="00247141">
        <w:rPr>
          <w:sz w:val="24"/>
          <w:szCs w:val="24"/>
        </w:rPr>
        <w:t xml:space="preserve">üksek yargının hukuk devletinin aşınmasına set vurduğu birçok örnek </w:t>
      </w:r>
      <w:r w:rsidR="009A0F25" w:rsidRPr="00247141">
        <w:rPr>
          <w:sz w:val="24"/>
          <w:szCs w:val="24"/>
        </w:rPr>
        <w:t xml:space="preserve">de </w:t>
      </w:r>
      <w:r w:rsidR="00F348AF" w:rsidRPr="00247141">
        <w:rPr>
          <w:sz w:val="24"/>
          <w:szCs w:val="24"/>
        </w:rPr>
        <w:t>mevcuttur. Bu örneklere ilk bakışta için Rusya’da Yeltsin</w:t>
      </w:r>
      <w:r w:rsidR="00187BD1" w:rsidRPr="00247141">
        <w:rPr>
          <w:sz w:val="24"/>
          <w:szCs w:val="24"/>
        </w:rPr>
        <w:t>‘</w:t>
      </w:r>
      <w:r w:rsidR="00F348AF" w:rsidRPr="00247141">
        <w:rPr>
          <w:sz w:val="24"/>
          <w:szCs w:val="24"/>
        </w:rPr>
        <w:t xml:space="preserve">in parlamentoyu feshinin </w:t>
      </w:r>
      <w:r w:rsidR="00077002" w:rsidRPr="00247141">
        <w:rPr>
          <w:sz w:val="24"/>
          <w:szCs w:val="24"/>
        </w:rPr>
        <w:t>Rusya Anayasa Mahkemesi</w:t>
      </w:r>
      <w:r w:rsidR="00F348AF" w:rsidRPr="00247141">
        <w:rPr>
          <w:sz w:val="24"/>
          <w:szCs w:val="24"/>
        </w:rPr>
        <w:t xml:space="preserve"> yoluyla engellenmesi, Şili Anayasa Mahkemesinin başkanlık kararnameleri çıkarma yetkisini sınırlaması, Slovenya Anayasa Mahkemesi’nin bireylerin devletçe tamamen takip edilmesine yönelik sınırsız yetki veren yasayı iptal etmesi gelmektedir.</w:t>
      </w:r>
      <w:r w:rsidR="00F348AF" w:rsidRPr="00247141">
        <w:rPr>
          <w:rStyle w:val="FootnoteReference"/>
          <w:sz w:val="24"/>
          <w:szCs w:val="24"/>
        </w:rPr>
        <w:footnoteReference w:id="19"/>
      </w:r>
      <w:r w:rsidR="00C227F7" w:rsidRPr="00247141">
        <w:rPr>
          <w:sz w:val="24"/>
          <w:szCs w:val="24"/>
        </w:rPr>
        <w:t xml:space="preserve"> Aynı şekilde Macaristan Anayasa Mahkemesi, kuruluşunun ilk döneminde</w:t>
      </w:r>
      <w:r w:rsidR="00C227F7" w:rsidRPr="00247141">
        <w:rPr>
          <w:rStyle w:val="FootnoteReference"/>
          <w:sz w:val="24"/>
          <w:szCs w:val="24"/>
        </w:rPr>
        <w:footnoteReference w:id="20"/>
      </w:r>
      <w:r w:rsidR="00C227F7" w:rsidRPr="00247141">
        <w:rPr>
          <w:sz w:val="24"/>
          <w:szCs w:val="24"/>
        </w:rPr>
        <w:t xml:space="preserve"> Yargıç Solyom başkanlığında oldukça aktivist bir tutum sergilemiş ancak ilk FIDEZS hükümeti döneminde yeniden atanmamış</w:t>
      </w:r>
      <w:r w:rsidRPr="00247141">
        <w:rPr>
          <w:sz w:val="24"/>
          <w:szCs w:val="24"/>
        </w:rPr>
        <w:t>tır</w:t>
      </w:r>
      <w:r w:rsidR="00C227F7" w:rsidRPr="00247141">
        <w:rPr>
          <w:sz w:val="24"/>
          <w:szCs w:val="24"/>
        </w:rPr>
        <w:t xml:space="preserve"> ve 2012 senesinde Mahkeme’nin etkisin</w:t>
      </w:r>
      <w:r w:rsidRPr="00247141">
        <w:rPr>
          <w:sz w:val="24"/>
          <w:szCs w:val="24"/>
        </w:rPr>
        <w:t>in biteceği büyük paketlemeye (</w:t>
      </w:r>
      <w:r w:rsidR="00C227F7" w:rsidRPr="00247141">
        <w:rPr>
          <w:sz w:val="24"/>
          <w:szCs w:val="24"/>
        </w:rPr>
        <w:t>court packing) kadar kamuoyundak</w:t>
      </w:r>
      <w:r w:rsidRPr="00247141">
        <w:rPr>
          <w:sz w:val="24"/>
          <w:szCs w:val="24"/>
        </w:rPr>
        <w:t>i gücünü yitirmeye başlayacaktır</w:t>
      </w:r>
      <w:r w:rsidR="00C227F7" w:rsidRPr="00247141">
        <w:rPr>
          <w:sz w:val="24"/>
          <w:szCs w:val="24"/>
        </w:rPr>
        <w:t>.</w:t>
      </w:r>
      <w:r w:rsidR="00C227F7" w:rsidRPr="00247141">
        <w:rPr>
          <w:rStyle w:val="FootnoteReference"/>
          <w:sz w:val="24"/>
          <w:szCs w:val="24"/>
        </w:rPr>
        <w:footnoteReference w:id="21"/>
      </w:r>
    </w:p>
    <w:p w14:paraId="0CF52231" w14:textId="220E27F9" w:rsidR="00FD4E18" w:rsidRPr="00247141" w:rsidRDefault="00FD4E18" w:rsidP="00747E3C">
      <w:pPr>
        <w:pStyle w:val="ListParagraph"/>
        <w:numPr>
          <w:ilvl w:val="0"/>
          <w:numId w:val="2"/>
        </w:numPr>
        <w:jc w:val="both"/>
        <w:rPr>
          <w:i/>
          <w:iCs/>
          <w:sz w:val="24"/>
          <w:szCs w:val="24"/>
        </w:rPr>
      </w:pPr>
      <w:r w:rsidRPr="00247141">
        <w:rPr>
          <w:i/>
          <w:iCs/>
          <w:sz w:val="24"/>
          <w:szCs w:val="24"/>
        </w:rPr>
        <w:t xml:space="preserve">Hukuk Devletinin Sona Ermesinde Kaçan Tarihi Bir Fırsat Olarak Alman </w:t>
      </w:r>
      <w:r w:rsidR="001134D9" w:rsidRPr="00247141">
        <w:rPr>
          <w:i/>
          <w:iCs/>
          <w:sz w:val="24"/>
          <w:szCs w:val="24"/>
        </w:rPr>
        <w:t>Devlet Yüksek Mahkemesi’nin Prusya Darbesi Kararı</w:t>
      </w:r>
    </w:p>
    <w:p w14:paraId="7DA69914" w14:textId="437849C2" w:rsidR="00030FD1" w:rsidRPr="00247141" w:rsidRDefault="00030FD1" w:rsidP="00C15CBA">
      <w:pPr>
        <w:jc w:val="both"/>
        <w:rPr>
          <w:sz w:val="24"/>
          <w:szCs w:val="24"/>
        </w:rPr>
      </w:pPr>
      <w:r w:rsidRPr="00247141">
        <w:rPr>
          <w:sz w:val="24"/>
          <w:szCs w:val="24"/>
        </w:rPr>
        <w:t>Bu noktada akla gelen en önemli kırılma noktalarından bi</w:t>
      </w:r>
      <w:r w:rsidR="00294035" w:rsidRPr="00247141">
        <w:rPr>
          <w:sz w:val="24"/>
          <w:szCs w:val="24"/>
        </w:rPr>
        <w:t>ri</w:t>
      </w:r>
      <w:r w:rsidRPr="00247141">
        <w:rPr>
          <w:sz w:val="24"/>
          <w:szCs w:val="24"/>
        </w:rPr>
        <w:t xml:space="preserve"> 1932 senesinde Weimar Cumhuriyetinde Devlet Yüksek Mahkemesi’nin</w:t>
      </w:r>
      <w:r w:rsidR="00EF5925" w:rsidRPr="00247141">
        <w:rPr>
          <w:sz w:val="24"/>
          <w:szCs w:val="24"/>
        </w:rPr>
        <w:t xml:space="preserve"> </w:t>
      </w:r>
      <w:r w:rsidRPr="00247141">
        <w:rPr>
          <w:sz w:val="24"/>
          <w:szCs w:val="24"/>
        </w:rPr>
        <w:t>(</w:t>
      </w:r>
      <w:r w:rsidRPr="00247141">
        <w:rPr>
          <w:i/>
          <w:iCs/>
          <w:sz w:val="24"/>
          <w:szCs w:val="24"/>
        </w:rPr>
        <w:t>Staatsgerichtshof</w:t>
      </w:r>
      <w:r w:rsidRPr="00247141">
        <w:rPr>
          <w:sz w:val="24"/>
          <w:szCs w:val="24"/>
        </w:rPr>
        <w:t>) verdiği „Prusya Darbesi(</w:t>
      </w:r>
      <w:r w:rsidRPr="00247141">
        <w:rPr>
          <w:i/>
          <w:iCs/>
          <w:sz w:val="24"/>
          <w:szCs w:val="24"/>
        </w:rPr>
        <w:t>Preußenschlag</w:t>
      </w:r>
      <w:r w:rsidRPr="00247141">
        <w:rPr>
          <w:sz w:val="24"/>
          <w:szCs w:val="24"/>
        </w:rPr>
        <w:t>)“ kararıdır.</w:t>
      </w:r>
      <w:r w:rsidRPr="00247141">
        <w:rPr>
          <w:rStyle w:val="FootnoteReference"/>
          <w:sz w:val="24"/>
          <w:szCs w:val="24"/>
        </w:rPr>
        <w:footnoteReference w:id="22"/>
      </w:r>
      <w:r w:rsidR="005C0F55" w:rsidRPr="00247141">
        <w:rPr>
          <w:sz w:val="24"/>
          <w:szCs w:val="24"/>
        </w:rPr>
        <w:t xml:space="preserve"> Prusya darbesi olarak bilinen vakada Weimar Cumhuriyeti’nin</w:t>
      </w:r>
      <w:r w:rsidR="00077002" w:rsidRPr="00247141">
        <w:rPr>
          <w:sz w:val="24"/>
          <w:szCs w:val="24"/>
        </w:rPr>
        <w:t xml:space="preserve"> </w:t>
      </w:r>
      <w:r w:rsidR="005C0F55" w:rsidRPr="00247141">
        <w:rPr>
          <w:sz w:val="24"/>
          <w:szCs w:val="24"/>
        </w:rPr>
        <w:t xml:space="preserve"> devlet başkanı</w:t>
      </w:r>
      <w:r w:rsidR="00077002" w:rsidRPr="00247141">
        <w:rPr>
          <w:sz w:val="24"/>
          <w:szCs w:val="24"/>
        </w:rPr>
        <w:t xml:space="preserve"> mareşal</w:t>
      </w:r>
      <w:r w:rsidR="005C0F55" w:rsidRPr="00247141">
        <w:rPr>
          <w:sz w:val="24"/>
          <w:szCs w:val="24"/>
        </w:rPr>
        <w:t xml:space="preserve"> Paul von Hindenburg, Prusya eyaletinde 1932 seçimlerinden sonra ortaya çıkan </w:t>
      </w:r>
      <w:r w:rsidR="00FD4E18" w:rsidRPr="00247141">
        <w:rPr>
          <w:sz w:val="24"/>
          <w:szCs w:val="24"/>
        </w:rPr>
        <w:t>hükümet istikrarsızlığını</w:t>
      </w:r>
      <w:r w:rsidR="00FD4E18" w:rsidRPr="00247141">
        <w:rPr>
          <w:rStyle w:val="FootnoteReference"/>
          <w:sz w:val="24"/>
          <w:szCs w:val="24"/>
        </w:rPr>
        <w:footnoteReference w:id="23"/>
      </w:r>
      <w:r w:rsidR="00FD4E18" w:rsidRPr="00247141">
        <w:rPr>
          <w:sz w:val="24"/>
          <w:szCs w:val="24"/>
        </w:rPr>
        <w:t xml:space="preserve"> bahane ederek Prusya </w:t>
      </w:r>
      <w:r w:rsidR="00FD4E18" w:rsidRPr="00247141">
        <w:rPr>
          <w:sz w:val="24"/>
          <w:szCs w:val="24"/>
        </w:rPr>
        <w:lastRenderedPageBreak/>
        <w:t>Anayasası’nın 59. maddesine göre görev yapmakta olan müstafi hükümeti</w:t>
      </w:r>
      <w:r w:rsidR="001C4459" w:rsidRPr="00247141">
        <w:rPr>
          <w:sz w:val="24"/>
          <w:szCs w:val="24"/>
        </w:rPr>
        <w:t xml:space="preserve">n </w:t>
      </w:r>
      <w:r w:rsidR="00FD4E18" w:rsidRPr="00247141">
        <w:rPr>
          <w:sz w:val="24"/>
          <w:szCs w:val="24"/>
        </w:rPr>
        <w:t>yetkilerini Prusya‘ya hükümet komiseri</w:t>
      </w:r>
      <w:r w:rsidR="00EF5925" w:rsidRPr="00247141">
        <w:rPr>
          <w:sz w:val="24"/>
          <w:szCs w:val="24"/>
        </w:rPr>
        <w:t xml:space="preserve"> </w:t>
      </w:r>
      <w:r w:rsidR="00FD4E18" w:rsidRPr="00247141">
        <w:rPr>
          <w:sz w:val="24"/>
          <w:szCs w:val="24"/>
        </w:rPr>
        <w:t>(</w:t>
      </w:r>
      <w:r w:rsidR="00FD4E18" w:rsidRPr="00247141">
        <w:rPr>
          <w:i/>
          <w:iCs/>
          <w:sz w:val="24"/>
          <w:szCs w:val="24"/>
        </w:rPr>
        <w:t>Reichskommisar</w:t>
      </w:r>
      <w:r w:rsidR="00FD4E18" w:rsidRPr="00247141">
        <w:rPr>
          <w:sz w:val="24"/>
          <w:szCs w:val="24"/>
        </w:rPr>
        <w:t>) olarak atadığı Franz von Papen’e devretmiştir</w:t>
      </w:r>
      <w:r w:rsidR="001C4459" w:rsidRPr="00247141">
        <w:rPr>
          <w:sz w:val="24"/>
          <w:szCs w:val="24"/>
        </w:rPr>
        <w:t xml:space="preserve">. Böylece von Papen’in kararnameler ile Prusya Eyaleti’ni </w:t>
      </w:r>
      <w:r w:rsidR="001A32D6" w:rsidRPr="00247141">
        <w:rPr>
          <w:sz w:val="24"/>
          <w:szCs w:val="24"/>
        </w:rPr>
        <w:t>-</w:t>
      </w:r>
      <w:r w:rsidR="001C4459" w:rsidRPr="00247141">
        <w:rPr>
          <w:sz w:val="24"/>
          <w:szCs w:val="24"/>
        </w:rPr>
        <w:t>anayasanın da hilafına</w:t>
      </w:r>
      <w:r w:rsidR="001A32D6" w:rsidRPr="00247141">
        <w:rPr>
          <w:sz w:val="24"/>
          <w:szCs w:val="24"/>
        </w:rPr>
        <w:t>-</w:t>
      </w:r>
      <w:r w:rsidR="001C4459" w:rsidRPr="00247141">
        <w:rPr>
          <w:sz w:val="24"/>
          <w:szCs w:val="24"/>
        </w:rPr>
        <w:t xml:space="preserve"> yönettiği bir dönem başlamıştır. Devlet Başkanı</w:t>
      </w:r>
      <w:r w:rsidR="00FD4E18" w:rsidRPr="00247141">
        <w:rPr>
          <w:sz w:val="24"/>
          <w:szCs w:val="24"/>
        </w:rPr>
        <w:t xml:space="preserve"> Hindenburg’un kamu güvenliği ve düzenini( </w:t>
      </w:r>
      <w:r w:rsidR="00FD4E18" w:rsidRPr="00247141">
        <w:rPr>
          <w:i/>
          <w:iCs/>
          <w:sz w:val="24"/>
          <w:szCs w:val="24"/>
        </w:rPr>
        <w:t>öffentliche Sicherheit und Ordnung</w:t>
      </w:r>
      <w:r w:rsidR="00FD4E18" w:rsidRPr="00247141">
        <w:rPr>
          <w:sz w:val="24"/>
          <w:szCs w:val="24"/>
        </w:rPr>
        <w:t xml:space="preserve">) </w:t>
      </w:r>
      <w:r w:rsidR="00906299" w:rsidRPr="00247141">
        <w:rPr>
          <w:sz w:val="24"/>
          <w:szCs w:val="24"/>
        </w:rPr>
        <w:t xml:space="preserve">gerekçe gösterdiği </w:t>
      </w:r>
      <w:r w:rsidR="00FD4E18" w:rsidRPr="00247141">
        <w:rPr>
          <w:sz w:val="24"/>
          <w:szCs w:val="24"/>
        </w:rPr>
        <w:t xml:space="preserve">bu eyleminin anayasal dayanağını ise Weimar Anayasası’nın çok tartışılan 48. maddesinin 1. </w:t>
      </w:r>
      <w:r w:rsidR="00FE3B8B" w:rsidRPr="00247141">
        <w:rPr>
          <w:sz w:val="24"/>
          <w:szCs w:val="24"/>
        </w:rPr>
        <w:t>f</w:t>
      </w:r>
      <w:r w:rsidR="00EF5925" w:rsidRPr="00247141">
        <w:rPr>
          <w:sz w:val="24"/>
          <w:szCs w:val="24"/>
        </w:rPr>
        <w:t xml:space="preserve">ıkrası </w:t>
      </w:r>
      <w:r w:rsidR="001C4459" w:rsidRPr="00247141">
        <w:rPr>
          <w:sz w:val="24"/>
          <w:szCs w:val="24"/>
        </w:rPr>
        <w:t>(</w:t>
      </w:r>
      <w:r w:rsidR="001C4459" w:rsidRPr="00247141">
        <w:rPr>
          <w:i/>
          <w:iCs/>
          <w:sz w:val="24"/>
          <w:szCs w:val="24"/>
        </w:rPr>
        <w:t>Reichsexekution</w:t>
      </w:r>
      <w:r w:rsidR="001C4459" w:rsidRPr="00247141">
        <w:rPr>
          <w:rStyle w:val="FootnoteReference"/>
          <w:i/>
          <w:iCs/>
          <w:sz w:val="24"/>
          <w:szCs w:val="24"/>
        </w:rPr>
        <w:footnoteReference w:id="24"/>
      </w:r>
      <w:r w:rsidR="001C4459" w:rsidRPr="00247141">
        <w:rPr>
          <w:sz w:val="24"/>
          <w:szCs w:val="24"/>
        </w:rPr>
        <w:t xml:space="preserve">) </w:t>
      </w:r>
      <w:r w:rsidR="00EF5925" w:rsidRPr="00247141">
        <w:rPr>
          <w:sz w:val="24"/>
          <w:szCs w:val="24"/>
        </w:rPr>
        <w:t>oluşturmaktaydı</w:t>
      </w:r>
      <w:r w:rsidR="001C4459" w:rsidRPr="00247141">
        <w:rPr>
          <w:sz w:val="24"/>
          <w:szCs w:val="24"/>
        </w:rPr>
        <w:t>. Prusya Eyalet Meclisinin</w:t>
      </w:r>
      <w:r w:rsidR="00A10D68" w:rsidRPr="00247141">
        <w:rPr>
          <w:sz w:val="24"/>
          <w:szCs w:val="24"/>
        </w:rPr>
        <w:t xml:space="preserve"> bu işlemleri sınırlama yolundaki çabalarının sonuçsuz kalması üzerine, Eyalet Meclisi’ndeki parti grupları ve Prusya Hükümeti</w:t>
      </w:r>
      <w:r w:rsidR="00306C19" w:rsidRPr="00247141">
        <w:rPr>
          <w:sz w:val="24"/>
          <w:szCs w:val="24"/>
        </w:rPr>
        <w:t>,</w:t>
      </w:r>
      <w:r w:rsidR="00A10D68" w:rsidRPr="00247141">
        <w:rPr>
          <w:sz w:val="24"/>
          <w:szCs w:val="24"/>
        </w:rPr>
        <w:t xml:space="preserve"> Devlet Yüksek Mahkemesi’ne (</w:t>
      </w:r>
      <w:r w:rsidR="00A10D68" w:rsidRPr="00247141">
        <w:rPr>
          <w:i/>
          <w:iCs/>
          <w:sz w:val="24"/>
          <w:szCs w:val="24"/>
        </w:rPr>
        <w:t>Staatsgerichtshof</w:t>
      </w:r>
      <w:r w:rsidR="00A10D68" w:rsidRPr="00247141">
        <w:rPr>
          <w:sz w:val="24"/>
          <w:szCs w:val="24"/>
        </w:rPr>
        <w:t>)</w:t>
      </w:r>
      <w:r w:rsidR="00306C19" w:rsidRPr="00247141">
        <w:rPr>
          <w:sz w:val="24"/>
          <w:szCs w:val="24"/>
        </w:rPr>
        <w:t>, Weimar Anayasası’nın 48. Maddesi uyarınca alınan bu tedbirlerin federal anayasaya aykırı olduğu gerekçesiyle dava açmıştır.  „Weimar Cumhuriyeti’nin en önemli davası“</w:t>
      </w:r>
      <w:r w:rsidR="00306C19" w:rsidRPr="00247141">
        <w:rPr>
          <w:rStyle w:val="FootnoteReference"/>
          <w:sz w:val="24"/>
          <w:szCs w:val="24"/>
        </w:rPr>
        <w:footnoteReference w:id="25"/>
      </w:r>
      <w:r w:rsidR="00306C19" w:rsidRPr="00247141">
        <w:rPr>
          <w:sz w:val="24"/>
          <w:szCs w:val="24"/>
        </w:rPr>
        <w:t xml:space="preserve"> olarak da ifade edilebilecek bu dava, </w:t>
      </w:r>
      <w:r w:rsidR="00371CBE" w:rsidRPr="00247141">
        <w:rPr>
          <w:sz w:val="24"/>
          <w:szCs w:val="24"/>
        </w:rPr>
        <w:t>sadece Prusya anayasasına yapılan bu müdahalenin hukuka uygunluk denetiminin yapıldığı bir dosya olmaktan öte, duruşmada tarafları temsil eden hukukçuların kimliği ile  Weimar Cumhuriyeti’nde yürütülmüş anayasa yargısına ilişkin  tartışmaların</w:t>
      </w:r>
      <w:r w:rsidR="00371CBE" w:rsidRPr="00247141">
        <w:rPr>
          <w:rStyle w:val="FootnoteReference"/>
          <w:sz w:val="24"/>
          <w:szCs w:val="24"/>
        </w:rPr>
        <w:footnoteReference w:id="26"/>
      </w:r>
      <w:r w:rsidR="00371CBE" w:rsidRPr="00247141">
        <w:rPr>
          <w:sz w:val="24"/>
          <w:szCs w:val="24"/>
        </w:rPr>
        <w:t xml:space="preserve"> da nihayete erdiği bir sahne özelliğini kazanmıştı. Çünkü bu davada</w:t>
      </w:r>
      <w:r w:rsidR="00B659A8" w:rsidRPr="00247141">
        <w:rPr>
          <w:sz w:val="24"/>
          <w:szCs w:val="24"/>
        </w:rPr>
        <w:t xml:space="preserve"> Hermann Heller ve Gerhard Anschütz gibi akademisyenler Prusya eyaletini temsil etmekteyken, gerek merkezileşmiş bir anayasa mahkemesine karşı çık</w:t>
      </w:r>
      <w:r w:rsidR="001A32D6" w:rsidRPr="00247141">
        <w:rPr>
          <w:sz w:val="24"/>
          <w:szCs w:val="24"/>
        </w:rPr>
        <w:t xml:space="preserve">an </w:t>
      </w:r>
      <w:r w:rsidR="00B659A8" w:rsidRPr="00247141">
        <w:rPr>
          <w:sz w:val="24"/>
          <w:szCs w:val="24"/>
        </w:rPr>
        <w:t>gerekse devlet başkanının olağanüstü hal yetkilerinin anayasada çizilen sınırların dahi ötesinde olduğunu savunan Carl Schmitt ve Erwin Jacobi gibi hukukçular, federal hükümeti temsil etmekteydiler.</w:t>
      </w:r>
    </w:p>
    <w:p w14:paraId="02C55D13" w14:textId="209089A2" w:rsidR="008452B5" w:rsidRPr="00247141" w:rsidRDefault="00000B7D" w:rsidP="00C15CBA">
      <w:pPr>
        <w:jc w:val="both"/>
        <w:rPr>
          <w:sz w:val="24"/>
          <w:szCs w:val="24"/>
        </w:rPr>
      </w:pPr>
      <w:r w:rsidRPr="00247141">
        <w:rPr>
          <w:sz w:val="24"/>
          <w:szCs w:val="24"/>
        </w:rPr>
        <w:t>Yüksek Devlet Mahkemesi, 25 Ekim 1932 tarihinde vermiş olduğu karar ile  Prusya Eyaleti’ne hükümet komiseri atanmas</w:t>
      </w:r>
      <w:r w:rsidR="004E53B3" w:rsidRPr="00247141">
        <w:rPr>
          <w:sz w:val="24"/>
          <w:szCs w:val="24"/>
        </w:rPr>
        <w:t xml:space="preserve">ını </w:t>
      </w:r>
      <w:r w:rsidRPr="00247141">
        <w:rPr>
          <w:sz w:val="24"/>
          <w:szCs w:val="24"/>
        </w:rPr>
        <w:t xml:space="preserve">ve eyalet hükümetinin görevden geçici olarak el çektirilmiş olmasını, anayasaya uygun bulmuştur. Mahkeme, kararında eyalete karşı </w:t>
      </w:r>
      <w:r w:rsidR="002F46B2" w:rsidRPr="00247141">
        <w:rPr>
          <w:sz w:val="24"/>
          <w:szCs w:val="24"/>
        </w:rPr>
        <w:t xml:space="preserve">Weimar Anayasası’nın meşhur 48. </w:t>
      </w:r>
      <w:r w:rsidR="00287B7C" w:rsidRPr="00247141">
        <w:rPr>
          <w:sz w:val="24"/>
          <w:szCs w:val="24"/>
        </w:rPr>
        <w:t>m</w:t>
      </w:r>
      <w:r w:rsidR="002F46B2" w:rsidRPr="00247141">
        <w:rPr>
          <w:sz w:val="24"/>
          <w:szCs w:val="24"/>
        </w:rPr>
        <w:t xml:space="preserve">addesinden kaynaklanan </w:t>
      </w:r>
      <w:r w:rsidRPr="00247141">
        <w:rPr>
          <w:sz w:val="24"/>
          <w:szCs w:val="24"/>
        </w:rPr>
        <w:t>olağanüstü hal yetkilerinin kullanılması hususunda devlet başkanının takdir yetkisine vurgu yapmıştır.</w:t>
      </w:r>
      <w:r w:rsidR="008452B5" w:rsidRPr="00247141">
        <w:rPr>
          <w:sz w:val="24"/>
          <w:szCs w:val="24"/>
        </w:rPr>
        <w:t xml:space="preserve"> Burada sadece tarihsel bir yorum</w:t>
      </w:r>
      <w:r w:rsidR="00EF5925" w:rsidRPr="00247141">
        <w:rPr>
          <w:sz w:val="24"/>
          <w:szCs w:val="24"/>
        </w:rPr>
        <w:t xml:space="preserve"> yapan Mahkeme, Weimar Anayasası</w:t>
      </w:r>
      <w:r w:rsidR="008452B5" w:rsidRPr="00247141">
        <w:rPr>
          <w:sz w:val="24"/>
          <w:szCs w:val="24"/>
        </w:rPr>
        <w:t>’nın yapım aşaması esnasında</w:t>
      </w:r>
      <w:r w:rsidR="00B05834" w:rsidRPr="00247141">
        <w:rPr>
          <w:sz w:val="24"/>
          <w:szCs w:val="24"/>
        </w:rPr>
        <w:t xml:space="preserve"> anayasanın mimarı Hugo Preuß’un devlet başkanının takdir yetkisinin ancak devlet başkanının cezai sorumluluğunu</w:t>
      </w:r>
      <w:r w:rsidR="00EF5925" w:rsidRPr="00247141">
        <w:rPr>
          <w:sz w:val="24"/>
          <w:szCs w:val="24"/>
        </w:rPr>
        <w:t xml:space="preserve"> </w:t>
      </w:r>
      <w:r w:rsidR="00291440" w:rsidRPr="00247141">
        <w:rPr>
          <w:sz w:val="24"/>
          <w:szCs w:val="24"/>
        </w:rPr>
        <w:t>(</w:t>
      </w:r>
      <w:r w:rsidR="00291440" w:rsidRPr="00247141">
        <w:rPr>
          <w:i/>
          <w:iCs/>
          <w:sz w:val="24"/>
          <w:szCs w:val="24"/>
        </w:rPr>
        <w:t>Weimar Anayasasının 59. Maddesi</w:t>
      </w:r>
      <w:r w:rsidR="00291440" w:rsidRPr="00247141">
        <w:rPr>
          <w:sz w:val="24"/>
          <w:szCs w:val="24"/>
        </w:rPr>
        <w:t>)</w:t>
      </w:r>
      <w:r w:rsidR="00B05834" w:rsidRPr="00247141">
        <w:rPr>
          <w:sz w:val="24"/>
          <w:szCs w:val="24"/>
        </w:rPr>
        <w:t xml:space="preserve"> içeren „ </w:t>
      </w:r>
      <w:r w:rsidR="00A4592F" w:rsidRPr="00247141">
        <w:rPr>
          <w:sz w:val="24"/>
          <w:szCs w:val="24"/>
        </w:rPr>
        <w:t>(</w:t>
      </w:r>
      <w:r w:rsidR="00B05834" w:rsidRPr="00247141">
        <w:rPr>
          <w:i/>
          <w:iCs/>
          <w:sz w:val="24"/>
          <w:szCs w:val="24"/>
        </w:rPr>
        <w:t>Praesidentanklage</w:t>
      </w:r>
      <w:r w:rsidR="00B05834" w:rsidRPr="00247141">
        <w:rPr>
          <w:sz w:val="24"/>
          <w:szCs w:val="24"/>
        </w:rPr>
        <w:t>)“ ile sorgulanabileceğini bunun dışında bu takdir yetkisinin yargısal denetime kapalı olduğunu belirtmiştir.</w:t>
      </w:r>
      <w:r w:rsidR="00B05834" w:rsidRPr="00247141">
        <w:rPr>
          <w:rStyle w:val="FootnoteReference"/>
          <w:sz w:val="24"/>
          <w:szCs w:val="24"/>
        </w:rPr>
        <w:footnoteReference w:id="27"/>
      </w:r>
      <w:r w:rsidR="00B05834" w:rsidRPr="00247141">
        <w:rPr>
          <w:sz w:val="24"/>
          <w:szCs w:val="24"/>
        </w:rPr>
        <w:t xml:space="preserve"> </w:t>
      </w:r>
    </w:p>
    <w:p w14:paraId="74AF2088" w14:textId="63FCCE9C" w:rsidR="00000B7D" w:rsidRPr="00247141" w:rsidRDefault="00000B7D" w:rsidP="00C15CBA">
      <w:pPr>
        <w:jc w:val="both"/>
        <w:rPr>
          <w:sz w:val="24"/>
          <w:szCs w:val="24"/>
        </w:rPr>
      </w:pPr>
      <w:r w:rsidRPr="00247141">
        <w:rPr>
          <w:sz w:val="24"/>
          <w:szCs w:val="24"/>
        </w:rPr>
        <w:lastRenderedPageBreak/>
        <w:t xml:space="preserve"> Böylece Mahkeme, cumhuriyet karşıtı güçlere karşı anayasayı korumak konusunda büyük bir fırsatı</w:t>
      </w:r>
      <w:r w:rsidRPr="00247141">
        <w:rPr>
          <w:rStyle w:val="FootnoteReference"/>
          <w:sz w:val="24"/>
          <w:szCs w:val="24"/>
        </w:rPr>
        <w:footnoteReference w:id="28"/>
      </w:r>
      <w:r w:rsidRPr="00247141">
        <w:rPr>
          <w:sz w:val="24"/>
          <w:szCs w:val="24"/>
        </w:rPr>
        <w:t xml:space="preserve"> kaçırmış; yargının bu tutumu Weimar Cumhuriyeti’nin</w:t>
      </w:r>
      <w:r w:rsidR="00C900B6" w:rsidRPr="00247141">
        <w:rPr>
          <w:sz w:val="24"/>
          <w:szCs w:val="24"/>
        </w:rPr>
        <w:t xml:space="preserve"> ortaya koyduğu demokrat</w:t>
      </w:r>
      <w:r w:rsidR="004E53B3" w:rsidRPr="00247141">
        <w:rPr>
          <w:sz w:val="24"/>
          <w:szCs w:val="24"/>
        </w:rPr>
        <w:t>i</w:t>
      </w:r>
      <w:r w:rsidR="00C900B6" w:rsidRPr="00247141">
        <w:rPr>
          <w:sz w:val="24"/>
          <w:szCs w:val="24"/>
        </w:rPr>
        <w:t>k düzenin</w:t>
      </w:r>
      <w:r w:rsidRPr="00247141">
        <w:rPr>
          <w:sz w:val="24"/>
          <w:szCs w:val="24"/>
        </w:rPr>
        <w:t xml:space="preserve"> </w:t>
      </w:r>
      <w:r w:rsidR="00287B7C" w:rsidRPr="00247141">
        <w:rPr>
          <w:sz w:val="24"/>
          <w:szCs w:val="24"/>
        </w:rPr>
        <w:t xml:space="preserve">devlet başkanı Mareşal </w:t>
      </w:r>
      <w:r w:rsidRPr="00247141">
        <w:rPr>
          <w:sz w:val="24"/>
          <w:szCs w:val="24"/>
        </w:rPr>
        <w:t xml:space="preserve">Paul von Hindenburg </w:t>
      </w:r>
      <w:r w:rsidR="00287B7C" w:rsidRPr="00247141">
        <w:rPr>
          <w:sz w:val="24"/>
          <w:szCs w:val="24"/>
        </w:rPr>
        <w:t xml:space="preserve"> tarafından otoriter bir başkanlık rejimine dönüştürülmesinin en önemli yapıtaşlarından birini</w:t>
      </w:r>
      <w:r w:rsidR="00EF5925" w:rsidRPr="00247141">
        <w:rPr>
          <w:sz w:val="24"/>
          <w:szCs w:val="24"/>
        </w:rPr>
        <w:t>n önünü</w:t>
      </w:r>
      <w:r w:rsidR="00287B7C" w:rsidRPr="00247141">
        <w:rPr>
          <w:sz w:val="24"/>
          <w:szCs w:val="24"/>
        </w:rPr>
        <w:t xml:space="preserve"> açmıştır. Hindenburg’un açtığı kapıdan ise </w:t>
      </w:r>
      <w:r w:rsidR="00610D53" w:rsidRPr="00247141">
        <w:rPr>
          <w:sz w:val="24"/>
          <w:szCs w:val="24"/>
        </w:rPr>
        <w:t xml:space="preserve"> nasyonal sosyalistler girmiş ve insanlık dışı eylemleri odağına alan totaliter bir rejim kurmuşlardır.</w:t>
      </w:r>
    </w:p>
    <w:p w14:paraId="5CEFB139" w14:textId="0D487B6E" w:rsidR="00361C81" w:rsidRPr="00247141" w:rsidRDefault="00361C81" w:rsidP="00C15CBA">
      <w:pPr>
        <w:jc w:val="both"/>
        <w:rPr>
          <w:sz w:val="24"/>
          <w:szCs w:val="24"/>
        </w:rPr>
      </w:pPr>
      <w:r w:rsidRPr="00247141">
        <w:rPr>
          <w:sz w:val="24"/>
          <w:szCs w:val="24"/>
        </w:rPr>
        <w:t>Nasyonal Sosyalizm sonrası yargı ise sadece yüksek yargı ile değil derece yargısı da dahil tüm mahkemeleri ile nasyonal sosyalist hukuksuzluk devletinin</w:t>
      </w:r>
      <w:r w:rsidR="00AD2A1F" w:rsidRPr="00247141">
        <w:rPr>
          <w:rStyle w:val="FootnoteReference"/>
          <w:sz w:val="24"/>
          <w:szCs w:val="24"/>
        </w:rPr>
        <w:footnoteReference w:id="29"/>
      </w:r>
      <w:r w:rsidRPr="00247141">
        <w:rPr>
          <w:sz w:val="24"/>
          <w:szCs w:val="24"/>
        </w:rPr>
        <w:t xml:space="preserve"> en önemli parçası olmuş; </w:t>
      </w:r>
      <w:r w:rsidR="00A4284A" w:rsidRPr="00247141">
        <w:rPr>
          <w:sz w:val="24"/>
          <w:szCs w:val="24"/>
        </w:rPr>
        <w:t xml:space="preserve"> yargı da bilindiği üzere </w:t>
      </w:r>
      <w:r w:rsidRPr="00247141">
        <w:rPr>
          <w:sz w:val="24"/>
          <w:szCs w:val="24"/>
        </w:rPr>
        <w:t>1939 senesinden itibaren</w:t>
      </w:r>
      <w:r w:rsidR="00AD2A1F" w:rsidRPr="00247141">
        <w:rPr>
          <w:sz w:val="24"/>
          <w:szCs w:val="24"/>
        </w:rPr>
        <w:t xml:space="preserve"> antisemitist ve insanlık dışı birçok uygulamada pozitivizmin gölgesine sığınarak</w:t>
      </w:r>
      <w:r w:rsidR="00AD2A1F" w:rsidRPr="00247141">
        <w:rPr>
          <w:rStyle w:val="FootnoteReference"/>
          <w:sz w:val="24"/>
          <w:szCs w:val="24"/>
        </w:rPr>
        <w:footnoteReference w:id="30"/>
      </w:r>
      <w:r w:rsidR="00AD2A1F" w:rsidRPr="00247141">
        <w:rPr>
          <w:sz w:val="24"/>
          <w:szCs w:val="24"/>
        </w:rPr>
        <w:t xml:space="preserve"> </w:t>
      </w:r>
      <w:r w:rsidRPr="00247141">
        <w:rPr>
          <w:sz w:val="24"/>
          <w:szCs w:val="24"/>
        </w:rPr>
        <w:t xml:space="preserve"> </w:t>
      </w:r>
      <w:r w:rsidR="006E1B39" w:rsidRPr="00247141">
        <w:rPr>
          <w:sz w:val="24"/>
          <w:szCs w:val="24"/>
        </w:rPr>
        <w:t xml:space="preserve"> hukuksuzluk devletini kökleştiren kararlara imza atmıştır.</w:t>
      </w:r>
      <w:r w:rsidR="001043FD" w:rsidRPr="00247141">
        <w:rPr>
          <w:sz w:val="24"/>
          <w:szCs w:val="24"/>
        </w:rPr>
        <w:t xml:space="preserve"> Bu noktada ilginç olan bir husus ise sadece yargının değil Alman toplumunun tamamının Nasyonal Sosyalizme direnç gös</w:t>
      </w:r>
      <w:r w:rsidR="00D0456F" w:rsidRPr="00247141">
        <w:rPr>
          <w:sz w:val="24"/>
          <w:szCs w:val="24"/>
        </w:rPr>
        <w:t>termediği, pozitivizmin ise</w:t>
      </w:r>
      <w:r w:rsidR="00F012CC" w:rsidRPr="00247141">
        <w:rPr>
          <w:sz w:val="24"/>
          <w:szCs w:val="24"/>
        </w:rPr>
        <w:t xml:space="preserve"> “yargıcın yasaya itaat etme yükümlülüğü“ biçiminde</w:t>
      </w:r>
      <w:r w:rsidR="00D0456F" w:rsidRPr="00247141">
        <w:rPr>
          <w:sz w:val="24"/>
          <w:szCs w:val="24"/>
        </w:rPr>
        <w:t xml:space="preserve"> daha Wei</w:t>
      </w:r>
      <w:r w:rsidR="00F230A6" w:rsidRPr="00247141">
        <w:rPr>
          <w:sz w:val="24"/>
          <w:szCs w:val="24"/>
        </w:rPr>
        <w:t>mar Cumhuriyeti</w:t>
      </w:r>
      <w:r w:rsidR="00C409CD" w:rsidRPr="00247141">
        <w:rPr>
          <w:sz w:val="24"/>
          <w:szCs w:val="24"/>
        </w:rPr>
        <w:t xml:space="preserve"> </w:t>
      </w:r>
      <w:r w:rsidR="00F012CC" w:rsidRPr="00247141">
        <w:rPr>
          <w:sz w:val="24"/>
          <w:szCs w:val="24"/>
        </w:rPr>
        <w:t>döneminde üstelik Weimar hukuk öğretisinin  Gerhard Anschütz gibi saygın bilim insanları  tarafından savunulduğu</w:t>
      </w:r>
      <w:r w:rsidR="00406592" w:rsidRPr="00247141">
        <w:rPr>
          <w:sz w:val="24"/>
          <w:szCs w:val="24"/>
        </w:rPr>
        <w:t xml:space="preserve"> </w:t>
      </w:r>
      <w:r w:rsidR="00823185" w:rsidRPr="00247141">
        <w:rPr>
          <w:sz w:val="24"/>
          <w:szCs w:val="24"/>
        </w:rPr>
        <w:t>gibi gerekçlerle</w:t>
      </w:r>
      <w:r w:rsidR="00406592" w:rsidRPr="00247141">
        <w:rPr>
          <w:sz w:val="24"/>
          <w:szCs w:val="24"/>
        </w:rPr>
        <w:t xml:space="preserve"> bazı yazarlarca yargının totaliter sistemdeki rolü azımsanmaya çalışılmıştır.</w:t>
      </w:r>
      <w:r w:rsidR="00406592" w:rsidRPr="00247141">
        <w:rPr>
          <w:rStyle w:val="FootnoteReference"/>
          <w:sz w:val="24"/>
          <w:szCs w:val="24"/>
        </w:rPr>
        <w:footnoteReference w:id="31"/>
      </w:r>
      <w:r w:rsidR="009723A2" w:rsidRPr="00247141">
        <w:rPr>
          <w:sz w:val="24"/>
          <w:szCs w:val="24"/>
        </w:rPr>
        <w:t xml:space="preserve"> </w:t>
      </w:r>
    </w:p>
    <w:p w14:paraId="672756DE" w14:textId="3FE43D5F" w:rsidR="00C66482" w:rsidRPr="00247141" w:rsidRDefault="00C66482" w:rsidP="00C15CBA">
      <w:pPr>
        <w:jc w:val="both"/>
        <w:rPr>
          <w:sz w:val="24"/>
          <w:szCs w:val="24"/>
        </w:rPr>
      </w:pPr>
      <w:r w:rsidRPr="00247141">
        <w:rPr>
          <w:sz w:val="24"/>
          <w:szCs w:val="24"/>
        </w:rPr>
        <w:t>Yüksek Devlet Mahkemesinin Weimar Anayasasını korumadaki başarısızlığı hiç şüphesiz II. Dünya Savaşı sonrasında Almanya’nın yeniden inşası(</w:t>
      </w:r>
      <w:r w:rsidRPr="00247141">
        <w:rPr>
          <w:i/>
          <w:iCs/>
          <w:sz w:val="24"/>
          <w:szCs w:val="24"/>
        </w:rPr>
        <w:t>Wiederaufbau</w:t>
      </w:r>
      <w:r w:rsidRPr="00247141">
        <w:rPr>
          <w:sz w:val="24"/>
          <w:szCs w:val="24"/>
        </w:rPr>
        <w:t>)</w:t>
      </w:r>
      <w:r w:rsidRPr="00247141">
        <w:rPr>
          <w:rStyle w:val="FootnoteReference"/>
          <w:sz w:val="24"/>
          <w:szCs w:val="24"/>
        </w:rPr>
        <w:footnoteReference w:id="32"/>
      </w:r>
      <w:r w:rsidRPr="00247141">
        <w:rPr>
          <w:sz w:val="24"/>
          <w:szCs w:val="24"/>
        </w:rPr>
        <w:t xml:space="preserve"> zamanında da göz önünde bulundurulmuş</w:t>
      </w:r>
      <w:r w:rsidR="00C72C60" w:rsidRPr="00247141">
        <w:rPr>
          <w:rStyle w:val="FootnoteReference"/>
          <w:sz w:val="24"/>
          <w:szCs w:val="24"/>
        </w:rPr>
        <w:footnoteReference w:id="33"/>
      </w:r>
      <w:r w:rsidR="000033EC" w:rsidRPr="00247141">
        <w:rPr>
          <w:sz w:val="24"/>
          <w:szCs w:val="24"/>
        </w:rPr>
        <w:t xml:space="preserve"> ve bu durum kurucu meclis sırasında neredeyse ittifakla Federal Alman Anayasa Mahkemesi’nin  kurulmasına yol açmıştır. </w:t>
      </w:r>
    </w:p>
    <w:p w14:paraId="2EFB792B" w14:textId="49A9523C" w:rsidR="00747E3C" w:rsidRPr="00247141" w:rsidRDefault="00906299" w:rsidP="00747E3C">
      <w:pPr>
        <w:pStyle w:val="ListParagraph"/>
        <w:numPr>
          <w:ilvl w:val="0"/>
          <w:numId w:val="2"/>
        </w:numPr>
        <w:jc w:val="both"/>
        <w:rPr>
          <w:i/>
          <w:iCs/>
          <w:sz w:val="24"/>
          <w:szCs w:val="24"/>
        </w:rPr>
      </w:pPr>
      <w:r w:rsidRPr="00247141">
        <w:rPr>
          <w:i/>
          <w:iCs/>
          <w:sz w:val="24"/>
          <w:szCs w:val="24"/>
        </w:rPr>
        <w:t xml:space="preserve">Karşılaştırmalı Hukukta </w:t>
      </w:r>
      <w:r w:rsidR="00747E3C" w:rsidRPr="00247141">
        <w:rPr>
          <w:i/>
          <w:iCs/>
          <w:sz w:val="24"/>
          <w:szCs w:val="24"/>
        </w:rPr>
        <w:t>Hukuk Devletinin Aşınmasın</w:t>
      </w:r>
      <w:r w:rsidRPr="00247141">
        <w:rPr>
          <w:i/>
          <w:iCs/>
          <w:sz w:val="24"/>
          <w:szCs w:val="24"/>
        </w:rPr>
        <w:t>a</w:t>
      </w:r>
      <w:r w:rsidR="0019688A" w:rsidRPr="00247141">
        <w:rPr>
          <w:i/>
          <w:iCs/>
          <w:sz w:val="24"/>
          <w:szCs w:val="24"/>
        </w:rPr>
        <w:t xml:space="preserve"> Yargının</w:t>
      </w:r>
      <w:r w:rsidRPr="00247141">
        <w:rPr>
          <w:i/>
          <w:iCs/>
          <w:sz w:val="24"/>
          <w:szCs w:val="24"/>
        </w:rPr>
        <w:t xml:space="preserve"> Engel </w:t>
      </w:r>
      <w:r w:rsidR="0019688A" w:rsidRPr="00247141">
        <w:rPr>
          <w:i/>
          <w:iCs/>
          <w:sz w:val="24"/>
          <w:szCs w:val="24"/>
        </w:rPr>
        <w:t>Olduğu</w:t>
      </w:r>
      <w:r w:rsidRPr="00247141">
        <w:rPr>
          <w:i/>
          <w:iCs/>
          <w:sz w:val="24"/>
          <w:szCs w:val="24"/>
        </w:rPr>
        <w:t xml:space="preserve"> </w:t>
      </w:r>
      <w:r w:rsidR="00747E3C" w:rsidRPr="00247141">
        <w:rPr>
          <w:i/>
          <w:iCs/>
          <w:sz w:val="24"/>
          <w:szCs w:val="24"/>
        </w:rPr>
        <w:t xml:space="preserve"> Olumlu Örnekler: Kolombiya Anayasa Mahkemesi ve Slovakya Anayasa Mahkemesi’nin „Anayasaya Aykırı Anayasa Değişikliği“ Kararları</w:t>
      </w:r>
    </w:p>
    <w:p w14:paraId="5F94312E" w14:textId="65604364" w:rsidR="00CA0DBB" w:rsidRPr="00247141" w:rsidRDefault="00CA0DBB" w:rsidP="00C15CBA">
      <w:pPr>
        <w:jc w:val="both"/>
        <w:rPr>
          <w:sz w:val="24"/>
          <w:szCs w:val="24"/>
        </w:rPr>
      </w:pPr>
      <w:r w:rsidRPr="00247141">
        <w:rPr>
          <w:sz w:val="24"/>
          <w:szCs w:val="24"/>
        </w:rPr>
        <w:t>Öte yandan hukuk devletinin aşınması hususunda yargının ne ölçüde rol oyna</w:t>
      </w:r>
      <w:r w:rsidR="004E53B3" w:rsidRPr="00247141">
        <w:rPr>
          <w:sz w:val="24"/>
          <w:szCs w:val="24"/>
        </w:rPr>
        <w:t>ya</w:t>
      </w:r>
      <w:r w:rsidRPr="00247141">
        <w:rPr>
          <w:sz w:val="24"/>
          <w:szCs w:val="24"/>
        </w:rPr>
        <w:t xml:space="preserve">bildiğine ilişkin olumlu örneklere de yer vermek gerekmektedir. Bu bağlamda hukuk devletinin aşınmasına yol açabilecek anayasa değişikliklerine karşı Kıta Avrupası ve Latin Amerika’dan iki örnek  </w:t>
      </w:r>
      <w:r w:rsidRPr="00247141">
        <w:rPr>
          <w:sz w:val="24"/>
          <w:szCs w:val="24"/>
        </w:rPr>
        <w:lastRenderedPageBreak/>
        <w:t>ve</w:t>
      </w:r>
      <w:r w:rsidR="004E53B3" w:rsidRPr="00247141">
        <w:rPr>
          <w:sz w:val="24"/>
          <w:szCs w:val="24"/>
        </w:rPr>
        <w:t>rilebilir</w:t>
      </w:r>
      <w:r w:rsidRPr="00247141">
        <w:rPr>
          <w:sz w:val="24"/>
          <w:szCs w:val="24"/>
        </w:rPr>
        <w:t>:</w:t>
      </w:r>
      <w:r w:rsidR="00BC0905" w:rsidRPr="00247141">
        <w:rPr>
          <w:sz w:val="24"/>
          <w:szCs w:val="24"/>
        </w:rPr>
        <w:t xml:space="preserve"> Bunlardan ilki</w:t>
      </w:r>
      <w:r w:rsidR="000B3FD2" w:rsidRPr="00247141">
        <w:rPr>
          <w:sz w:val="24"/>
          <w:szCs w:val="24"/>
        </w:rPr>
        <w:t xml:space="preserve"> dönemin </w:t>
      </w:r>
      <w:r w:rsidR="00EF3269" w:rsidRPr="00247141">
        <w:rPr>
          <w:sz w:val="24"/>
          <w:szCs w:val="24"/>
        </w:rPr>
        <w:t xml:space="preserve"> </w:t>
      </w:r>
      <w:r w:rsidR="008E6198" w:rsidRPr="00247141">
        <w:rPr>
          <w:sz w:val="24"/>
          <w:szCs w:val="24"/>
        </w:rPr>
        <w:t>popülist</w:t>
      </w:r>
      <w:r w:rsidR="000B3FD2" w:rsidRPr="00247141">
        <w:rPr>
          <w:sz w:val="24"/>
          <w:szCs w:val="24"/>
        </w:rPr>
        <w:t xml:space="preserve"> başbakanı</w:t>
      </w:r>
      <w:r w:rsidR="008E6198" w:rsidRPr="00247141">
        <w:rPr>
          <w:sz w:val="24"/>
          <w:szCs w:val="24"/>
        </w:rPr>
        <w:t xml:space="preserve"> Robert Fico</w:t>
      </w:r>
      <w:r w:rsidR="008E6198" w:rsidRPr="00247141">
        <w:rPr>
          <w:rStyle w:val="FootnoteReference"/>
          <w:sz w:val="24"/>
          <w:szCs w:val="24"/>
        </w:rPr>
        <w:footnoteReference w:id="34"/>
      </w:r>
      <w:r w:rsidR="008E6198" w:rsidRPr="00247141">
        <w:rPr>
          <w:sz w:val="24"/>
          <w:szCs w:val="24"/>
        </w:rPr>
        <w:t xml:space="preserve"> yönetiminin önderliğinde çıkarılan ve</w:t>
      </w:r>
      <w:r w:rsidR="009756D8" w:rsidRPr="00247141">
        <w:rPr>
          <w:sz w:val="24"/>
          <w:szCs w:val="24"/>
        </w:rPr>
        <w:t xml:space="preserve"> -görevde olanlar da dahil olmak üzere-</w:t>
      </w:r>
      <w:r w:rsidR="008E6198" w:rsidRPr="00247141">
        <w:rPr>
          <w:sz w:val="24"/>
          <w:szCs w:val="24"/>
        </w:rPr>
        <w:t xml:space="preserve"> </w:t>
      </w:r>
      <w:r w:rsidR="00156B0E" w:rsidRPr="00247141">
        <w:rPr>
          <w:sz w:val="24"/>
          <w:szCs w:val="24"/>
        </w:rPr>
        <w:t>tüm yargıçların</w:t>
      </w:r>
      <w:r w:rsidR="000B3FD2" w:rsidRPr="00247141">
        <w:rPr>
          <w:sz w:val="24"/>
          <w:szCs w:val="24"/>
        </w:rPr>
        <w:t xml:space="preserve"> yürütme erkinde yer alan</w:t>
      </w:r>
      <w:r w:rsidR="00156B0E" w:rsidRPr="00247141">
        <w:rPr>
          <w:sz w:val="24"/>
          <w:szCs w:val="24"/>
        </w:rPr>
        <w:t xml:space="preserve"> Ulusal Güvenlik Birimi (</w:t>
      </w:r>
      <w:r w:rsidR="00156B0E" w:rsidRPr="00247141">
        <w:rPr>
          <w:i/>
          <w:iCs/>
          <w:sz w:val="24"/>
          <w:szCs w:val="24"/>
        </w:rPr>
        <w:t>NBU</w:t>
      </w:r>
      <w:r w:rsidR="00156B0E" w:rsidRPr="00247141">
        <w:rPr>
          <w:sz w:val="24"/>
          <w:szCs w:val="24"/>
        </w:rPr>
        <w:t>) tarafından yapılacak güvenlik soruşturması</w:t>
      </w:r>
      <w:r w:rsidR="008E6198" w:rsidRPr="00247141">
        <w:rPr>
          <w:sz w:val="24"/>
          <w:szCs w:val="24"/>
        </w:rPr>
        <w:t>na tutulmalarını öngören anayasa değişikliğinin</w:t>
      </w:r>
      <w:r w:rsidR="002A7A6B" w:rsidRPr="00247141">
        <w:rPr>
          <w:sz w:val="24"/>
          <w:szCs w:val="24"/>
        </w:rPr>
        <w:t xml:space="preserve"> Slovakya Anayasa Mahkemesi tarafından iptal edilmesidir.</w:t>
      </w:r>
      <w:r w:rsidR="002A7A6B" w:rsidRPr="00247141">
        <w:rPr>
          <w:rStyle w:val="FootnoteReference"/>
          <w:sz w:val="24"/>
          <w:szCs w:val="24"/>
        </w:rPr>
        <w:footnoteReference w:id="35"/>
      </w:r>
      <w:r w:rsidR="002A7A6B" w:rsidRPr="00247141">
        <w:rPr>
          <w:sz w:val="24"/>
          <w:szCs w:val="24"/>
        </w:rPr>
        <w:t xml:space="preserve"> 30 Ocak 2019 tarihli kararında Slovakya AYM’si,</w:t>
      </w:r>
      <w:r w:rsidR="009756D8" w:rsidRPr="00247141">
        <w:rPr>
          <w:sz w:val="24"/>
          <w:szCs w:val="24"/>
        </w:rPr>
        <w:t xml:space="preserve"> bu değişikliğin Slovakya Anayasası’nın 1. maddesinde belirtilmiş olan hukuk devletine</w:t>
      </w:r>
      <w:r w:rsidR="004E53B3" w:rsidRPr="00247141">
        <w:rPr>
          <w:sz w:val="24"/>
          <w:szCs w:val="24"/>
        </w:rPr>
        <w:t xml:space="preserve">, </w:t>
      </w:r>
      <w:r w:rsidR="009756D8" w:rsidRPr="00247141">
        <w:rPr>
          <w:sz w:val="24"/>
          <w:szCs w:val="24"/>
        </w:rPr>
        <w:t>onun bir yansıması olan erkler ayrılığına aykırı olacağını belirtmiştir. Mahkeme’ye göre yapılan değişiklikler</w:t>
      </w:r>
      <w:r w:rsidR="00193CF8" w:rsidRPr="00247141">
        <w:rPr>
          <w:sz w:val="24"/>
          <w:szCs w:val="24"/>
        </w:rPr>
        <w:t xml:space="preserve"> Slovakya Anayasası</w:t>
      </w:r>
      <w:r w:rsidR="003040AD" w:rsidRPr="00247141">
        <w:rPr>
          <w:sz w:val="24"/>
          <w:szCs w:val="24"/>
        </w:rPr>
        <w:t>‘</w:t>
      </w:r>
      <w:r w:rsidR="00193CF8" w:rsidRPr="00247141">
        <w:rPr>
          <w:sz w:val="24"/>
          <w:szCs w:val="24"/>
        </w:rPr>
        <w:t>nın 1. Maddesinde belirtilen ve diğer anayasa hükümleri için bağlayıcı olan</w:t>
      </w:r>
      <w:r w:rsidR="009756D8" w:rsidRPr="00247141">
        <w:rPr>
          <w:sz w:val="24"/>
          <w:szCs w:val="24"/>
        </w:rPr>
        <w:t xml:space="preserve"> anayasanın maddi özün</w:t>
      </w:r>
      <w:r w:rsidR="00193CF8" w:rsidRPr="00247141">
        <w:rPr>
          <w:sz w:val="24"/>
          <w:szCs w:val="24"/>
        </w:rPr>
        <w:t>ü</w:t>
      </w:r>
      <w:r w:rsidR="00EF5925" w:rsidRPr="00247141">
        <w:rPr>
          <w:sz w:val="24"/>
          <w:szCs w:val="24"/>
        </w:rPr>
        <w:t xml:space="preserve"> </w:t>
      </w:r>
      <w:r w:rsidR="009756D8" w:rsidRPr="00247141">
        <w:rPr>
          <w:sz w:val="24"/>
          <w:szCs w:val="24"/>
        </w:rPr>
        <w:t xml:space="preserve">( </w:t>
      </w:r>
      <w:r w:rsidR="009756D8" w:rsidRPr="00247141">
        <w:rPr>
          <w:i/>
          <w:iCs/>
          <w:sz w:val="24"/>
          <w:szCs w:val="24"/>
        </w:rPr>
        <w:t>materical core</w:t>
      </w:r>
      <w:r w:rsidR="009756D8" w:rsidRPr="00247141">
        <w:rPr>
          <w:sz w:val="24"/>
          <w:szCs w:val="24"/>
        </w:rPr>
        <w:t>)</w:t>
      </w:r>
      <w:r w:rsidR="00193CF8" w:rsidRPr="00247141">
        <w:rPr>
          <w:sz w:val="24"/>
          <w:szCs w:val="24"/>
        </w:rPr>
        <w:t xml:space="preserve"> zedelemekteydi.</w:t>
      </w:r>
      <w:r w:rsidR="000B3FD2" w:rsidRPr="00247141">
        <w:rPr>
          <w:sz w:val="24"/>
          <w:szCs w:val="24"/>
        </w:rPr>
        <w:t xml:space="preserve"> Karar, „anayasaya aykırı anayasa değişikliği“ doktrinine sağladığı katkı kadar, özellikle Başbakan Ficonun yargıyı, yürütme erkinin hegamonyası altına sokma girişimlerinde uğradığı başarısızlıkların</w:t>
      </w:r>
      <w:r w:rsidR="000B3FD2" w:rsidRPr="00247141">
        <w:rPr>
          <w:rStyle w:val="FootnoteReference"/>
          <w:sz w:val="24"/>
          <w:szCs w:val="24"/>
        </w:rPr>
        <w:footnoteReference w:id="36"/>
      </w:r>
      <w:r w:rsidR="000B3FD2" w:rsidRPr="00247141">
        <w:rPr>
          <w:sz w:val="24"/>
          <w:szCs w:val="24"/>
        </w:rPr>
        <w:t xml:space="preserve"> en büyüğü olması sebebiyle de tarihi bir öneme sahiptir.</w:t>
      </w:r>
      <w:r w:rsidR="00A96974" w:rsidRPr="00247141">
        <w:rPr>
          <w:sz w:val="24"/>
          <w:szCs w:val="24"/>
        </w:rPr>
        <w:t xml:space="preserve"> Yargının hukuk devletini korumak adına kritik kavşakta nasıl direnç gösterebileceğine ilişkin bir diğer </w:t>
      </w:r>
      <w:r w:rsidR="00B8469E" w:rsidRPr="00247141">
        <w:rPr>
          <w:sz w:val="24"/>
          <w:szCs w:val="24"/>
        </w:rPr>
        <w:t xml:space="preserve"> örnek </w:t>
      </w:r>
      <w:r w:rsidR="00A96974" w:rsidRPr="00247141">
        <w:rPr>
          <w:sz w:val="24"/>
          <w:szCs w:val="24"/>
        </w:rPr>
        <w:t xml:space="preserve">ise </w:t>
      </w:r>
      <w:r w:rsidR="00F61605" w:rsidRPr="00247141">
        <w:rPr>
          <w:sz w:val="24"/>
          <w:szCs w:val="24"/>
        </w:rPr>
        <w:t xml:space="preserve"> </w:t>
      </w:r>
      <w:r w:rsidR="00DA51B7" w:rsidRPr="00247141">
        <w:rPr>
          <w:sz w:val="24"/>
          <w:szCs w:val="24"/>
        </w:rPr>
        <w:t xml:space="preserve">bu sefer </w:t>
      </w:r>
      <w:r w:rsidR="00F61605" w:rsidRPr="00247141">
        <w:rPr>
          <w:sz w:val="24"/>
          <w:szCs w:val="24"/>
        </w:rPr>
        <w:t>Latin Amerika’da</w:t>
      </w:r>
      <w:r w:rsidR="00B8469E" w:rsidRPr="00247141">
        <w:rPr>
          <w:sz w:val="24"/>
          <w:szCs w:val="24"/>
        </w:rPr>
        <w:t>ki</w:t>
      </w:r>
      <w:r w:rsidR="00DA51B7" w:rsidRPr="00247141">
        <w:rPr>
          <w:sz w:val="24"/>
          <w:szCs w:val="24"/>
        </w:rPr>
        <w:t xml:space="preserve"> bir yüksek mahkemenin yine bir anayasa değişikliğine ilişkin kararıdır.</w:t>
      </w:r>
      <w:r w:rsidR="00B8469E" w:rsidRPr="00247141">
        <w:rPr>
          <w:sz w:val="24"/>
          <w:szCs w:val="24"/>
        </w:rPr>
        <w:t xml:space="preserve"> </w:t>
      </w:r>
      <w:r w:rsidR="009620CE" w:rsidRPr="00247141">
        <w:rPr>
          <w:sz w:val="24"/>
          <w:szCs w:val="24"/>
        </w:rPr>
        <w:t>1991 tarihli Kolombiya Anayasası ile oluşturulmuş olan ve 1992 tarih</w:t>
      </w:r>
      <w:r w:rsidR="00B6664C" w:rsidRPr="00247141">
        <w:rPr>
          <w:sz w:val="24"/>
          <w:szCs w:val="24"/>
        </w:rPr>
        <w:t>inden beri görevde olan</w:t>
      </w:r>
      <w:r w:rsidR="009620CE" w:rsidRPr="00247141">
        <w:rPr>
          <w:sz w:val="24"/>
          <w:szCs w:val="24"/>
        </w:rPr>
        <w:t xml:space="preserve"> Kolombiya Anayasa Mahkemesi</w:t>
      </w:r>
      <w:r w:rsidR="00F61605" w:rsidRPr="00247141">
        <w:rPr>
          <w:sz w:val="24"/>
          <w:szCs w:val="24"/>
        </w:rPr>
        <w:t xml:space="preserve"> 2010 yılında parlamento tarafından kabul edilen ve referanduma sunulan anayasa değişikliği teklifi, devlet başkanına art arda üçüncü bir görev süresi tanınabilmesini öngörmekte ve böylece Alvaro Uribe’nin bir kez daha devlet başkanlığı yapabilmesini sağlamaktaydı. Ancak Kolombiya AYM’si bu değişiklik ile üç dönem görev yapacak olan devlet başkanının,  yapacağı atamalar ile kendisini denetlemekle görevli kurumlar da dahil olmak üzere tüm kurumlardaki üyeleri kendisinin seçmiş olacağını ; böylece tüm kurumlar üzerinde onun önemli bir kontrol sağlayacağını; bu durumun da onun iktidardan düşmesini son derece zorlaştıracağını belirtmiştir.</w:t>
      </w:r>
      <w:r w:rsidR="00F61605" w:rsidRPr="00247141">
        <w:rPr>
          <w:rStyle w:val="FootnoteReference"/>
          <w:sz w:val="24"/>
          <w:szCs w:val="24"/>
        </w:rPr>
        <w:footnoteReference w:id="37"/>
      </w:r>
      <w:r w:rsidR="00F61605" w:rsidRPr="00247141">
        <w:rPr>
          <w:sz w:val="24"/>
          <w:szCs w:val="24"/>
        </w:rPr>
        <w:t xml:space="preserve"> </w:t>
      </w:r>
      <w:r w:rsidR="005D5C1F" w:rsidRPr="00247141">
        <w:rPr>
          <w:sz w:val="24"/>
          <w:szCs w:val="24"/>
        </w:rPr>
        <w:t>Mahkeme’ye göre bu anayasa değişikliği sonucunda d</w:t>
      </w:r>
      <w:r w:rsidR="00F61605" w:rsidRPr="00247141">
        <w:rPr>
          <w:sz w:val="24"/>
          <w:szCs w:val="24"/>
        </w:rPr>
        <w:t xml:space="preserve">emokratik </w:t>
      </w:r>
      <w:r w:rsidR="005D5C1F" w:rsidRPr="00247141">
        <w:rPr>
          <w:sz w:val="24"/>
          <w:szCs w:val="24"/>
        </w:rPr>
        <w:t xml:space="preserve"> kurumlar zayıflayacak ve  </w:t>
      </w:r>
      <w:r w:rsidR="00F61605" w:rsidRPr="00247141">
        <w:rPr>
          <w:sz w:val="24"/>
          <w:szCs w:val="24"/>
        </w:rPr>
        <w:t xml:space="preserve">mevcut </w:t>
      </w:r>
      <w:r w:rsidR="005D5C1F" w:rsidRPr="00247141">
        <w:rPr>
          <w:sz w:val="24"/>
          <w:szCs w:val="24"/>
        </w:rPr>
        <w:t>a</w:t>
      </w:r>
      <w:r w:rsidR="00F61605" w:rsidRPr="00247141">
        <w:rPr>
          <w:sz w:val="24"/>
          <w:szCs w:val="24"/>
        </w:rPr>
        <w:t>nayasa</w:t>
      </w:r>
      <w:r w:rsidR="005D5C1F" w:rsidRPr="00247141">
        <w:rPr>
          <w:sz w:val="24"/>
          <w:szCs w:val="24"/>
        </w:rPr>
        <w:t xml:space="preserve"> esasında</w:t>
      </w:r>
      <w:r w:rsidR="00F61605" w:rsidRPr="00247141">
        <w:rPr>
          <w:sz w:val="24"/>
          <w:szCs w:val="24"/>
        </w:rPr>
        <w:t xml:space="preserve"> yeni bir anayasa ile </w:t>
      </w:r>
      <w:r w:rsidR="005D5C1F" w:rsidRPr="00247141">
        <w:rPr>
          <w:sz w:val="24"/>
          <w:szCs w:val="24"/>
        </w:rPr>
        <w:t>ikam</w:t>
      </w:r>
      <w:r w:rsidR="00747E3C" w:rsidRPr="00247141">
        <w:rPr>
          <w:sz w:val="24"/>
          <w:szCs w:val="24"/>
        </w:rPr>
        <w:t>e</w:t>
      </w:r>
      <w:r w:rsidR="005D5C1F" w:rsidRPr="00247141">
        <w:rPr>
          <w:sz w:val="24"/>
          <w:szCs w:val="24"/>
        </w:rPr>
        <w:t xml:space="preserve"> edilmiş olacaktı.</w:t>
      </w:r>
      <w:r w:rsidR="005D5C1F" w:rsidRPr="00247141">
        <w:rPr>
          <w:rStyle w:val="FootnoteReference"/>
          <w:sz w:val="24"/>
          <w:szCs w:val="24"/>
        </w:rPr>
        <w:footnoteReference w:id="38"/>
      </w:r>
      <w:r w:rsidR="00B6664C" w:rsidRPr="00247141">
        <w:rPr>
          <w:sz w:val="24"/>
          <w:szCs w:val="24"/>
        </w:rPr>
        <w:t xml:space="preserve"> Kolombiya Anayasa Mahkemesinin bu kararının süpriz olmadığı ancak anayasal kurumların yarattığı demokratik defekti telafi etmek yolunda  vermiş olduğu diğer birçok kararla</w:t>
      </w:r>
      <w:r w:rsidR="00C30366" w:rsidRPr="00247141">
        <w:rPr>
          <w:rStyle w:val="FootnoteReference"/>
          <w:sz w:val="24"/>
          <w:szCs w:val="24"/>
        </w:rPr>
        <w:footnoteReference w:id="39"/>
      </w:r>
      <w:r w:rsidR="00B6664C" w:rsidRPr="00247141">
        <w:rPr>
          <w:sz w:val="24"/>
          <w:szCs w:val="24"/>
        </w:rPr>
        <w:t xml:space="preserve"> beraber Kolombiya AYM</w:t>
      </w:r>
      <w:r w:rsidR="00C30366" w:rsidRPr="00247141">
        <w:rPr>
          <w:sz w:val="24"/>
          <w:szCs w:val="24"/>
        </w:rPr>
        <w:t>’</w:t>
      </w:r>
      <w:r w:rsidR="00B6664C" w:rsidRPr="00247141">
        <w:rPr>
          <w:sz w:val="24"/>
          <w:szCs w:val="24"/>
        </w:rPr>
        <w:t>sinin</w:t>
      </w:r>
      <w:r w:rsidR="00C30366" w:rsidRPr="00247141">
        <w:rPr>
          <w:sz w:val="24"/>
          <w:szCs w:val="24"/>
        </w:rPr>
        <w:t xml:space="preserve"> toplumsal dönüşümü sağlamak yolunda büyük bir etken olduğu </w:t>
      </w:r>
      <w:r w:rsidR="00C30366" w:rsidRPr="00247141">
        <w:rPr>
          <w:sz w:val="24"/>
          <w:szCs w:val="24"/>
        </w:rPr>
        <w:lastRenderedPageBreak/>
        <w:t>söylenebilir. Buna</w:t>
      </w:r>
      <w:r w:rsidR="00EF5925" w:rsidRPr="00247141">
        <w:rPr>
          <w:sz w:val="24"/>
          <w:szCs w:val="24"/>
        </w:rPr>
        <w:t xml:space="preserve"> karşın haklı olarak özellikle </w:t>
      </w:r>
      <w:r w:rsidR="00C30366" w:rsidRPr="00247141">
        <w:rPr>
          <w:sz w:val="24"/>
          <w:szCs w:val="24"/>
        </w:rPr>
        <w:t>siyasal kurumlar direndiği müddetçe Mahkemenin tek başına etkili olmadığı da ifade edilmektedir.</w:t>
      </w:r>
      <w:r w:rsidR="00C30366" w:rsidRPr="00247141">
        <w:rPr>
          <w:rStyle w:val="FootnoteReference"/>
          <w:sz w:val="24"/>
          <w:szCs w:val="24"/>
        </w:rPr>
        <w:footnoteReference w:id="40"/>
      </w:r>
    </w:p>
    <w:p w14:paraId="2FD50DCB" w14:textId="66FD4A06" w:rsidR="005C08E5" w:rsidRPr="00247141" w:rsidRDefault="005C08E5" w:rsidP="00C15CBA">
      <w:pPr>
        <w:jc w:val="both"/>
        <w:rPr>
          <w:sz w:val="24"/>
          <w:szCs w:val="24"/>
        </w:rPr>
      </w:pPr>
      <w:r w:rsidRPr="00247141">
        <w:rPr>
          <w:sz w:val="24"/>
          <w:szCs w:val="24"/>
        </w:rPr>
        <w:t xml:space="preserve"> Mahkeme’nin bu kararı özellikle Latin Amerika’daki devlet başkanının  görev süresine ilişkin kısıtlama getiren diğer kararlarla karşılaştırıldığında oldukça kayda değerdir.</w:t>
      </w:r>
      <w:r w:rsidR="00D45877" w:rsidRPr="00247141">
        <w:rPr>
          <w:sz w:val="24"/>
          <w:szCs w:val="24"/>
        </w:rPr>
        <w:t xml:space="preserve"> Özellikle Venezüela, Ekvador ve Bolivya’da yüksek mahkemelerin devlet başkanlarının görev sürelerinin anayasa değişikliği yoluyla uzatılmasını „onaylamaları“, Kolombiya Anayasa Mahkemesi’nin  pozisyonunu tasdik etmektedir. Örneğin Bolivya Anayasa Mahkemesi,  Evo </w:t>
      </w:r>
      <w:r w:rsidR="00EF5925" w:rsidRPr="00247141">
        <w:rPr>
          <w:sz w:val="24"/>
          <w:szCs w:val="24"/>
        </w:rPr>
        <w:t xml:space="preserve">Morales’in anayasa değişikliği </w:t>
      </w:r>
      <w:r w:rsidR="00D45877" w:rsidRPr="00247141">
        <w:rPr>
          <w:sz w:val="24"/>
          <w:szCs w:val="24"/>
        </w:rPr>
        <w:t>yürürlüğe girmeden  evvel görev yaptığı dönemin, görev süresi sınırlamasına dahil edilmeyeceğini belirtmiştir.</w:t>
      </w:r>
      <w:r w:rsidR="00D45877" w:rsidRPr="00247141">
        <w:rPr>
          <w:rStyle w:val="FootnoteReference"/>
          <w:sz w:val="24"/>
          <w:szCs w:val="24"/>
        </w:rPr>
        <w:footnoteReference w:id="41"/>
      </w:r>
      <w:r w:rsidR="00D45877" w:rsidRPr="00247141">
        <w:rPr>
          <w:sz w:val="24"/>
          <w:szCs w:val="24"/>
        </w:rPr>
        <w:t xml:space="preserve"> </w:t>
      </w:r>
      <w:r w:rsidR="000A76A8" w:rsidRPr="00247141">
        <w:rPr>
          <w:sz w:val="24"/>
          <w:szCs w:val="24"/>
        </w:rPr>
        <w:t>Benzer biçimde Rwanda Yüksek Mahkemesi,  Başkan Kagemenin 17 sene boyunca devlet başkanı olarak görev yapmasını öngören değişikliğe ilişkin anayasa değişikliğini  iptal etmeyi reddetmiştir.</w:t>
      </w:r>
      <w:r w:rsidR="000A76A8" w:rsidRPr="00247141">
        <w:rPr>
          <w:rStyle w:val="FootnoteReference"/>
          <w:sz w:val="24"/>
          <w:szCs w:val="24"/>
        </w:rPr>
        <w:footnoteReference w:id="42"/>
      </w:r>
      <w:r w:rsidR="00C30366" w:rsidRPr="00247141">
        <w:rPr>
          <w:sz w:val="24"/>
          <w:szCs w:val="24"/>
        </w:rPr>
        <w:t xml:space="preserve"> </w:t>
      </w:r>
      <w:r w:rsidR="00B740CB" w:rsidRPr="00247141">
        <w:rPr>
          <w:sz w:val="24"/>
          <w:szCs w:val="24"/>
        </w:rPr>
        <w:t xml:space="preserve"> Nikagarau’daki süreç ise daha da ilginçtir; </w:t>
      </w:r>
      <w:r w:rsidR="00057299" w:rsidRPr="00247141">
        <w:rPr>
          <w:sz w:val="24"/>
          <w:szCs w:val="24"/>
        </w:rPr>
        <w:t xml:space="preserve"> Başkan Ortega’nın yasama organındaki müttefikleri </w:t>
      </w:r>
      <w:r w:rsidR="009A3C55" w:rsidRPr="00247141">
        <w:rPr>
          <w:sz w:val="24"/>
          <w:szCs w:val="24"/>
        </w:rPr>
        <w:t xml:space="preserve">başkanın görev süresi ile ilgili </w:t>
      </w:r>
      <w:r w:rsidR="004A0B19" w:rsidRPr="00247141">
        <w:rPr>
          <w:sz w:val="24"/>
          <w:szCs w:val="24"/>
        </w:rPr>
        <w:t xml:space="preserve">anayasa metnindeki kısıtlamayı ortadan kaldıracak nitelikli çoğunluğa sahip olmadıkları için başka bir yol bulmuşlar ve Anayasa Mahkemesi’ne başvurmuşlardır. Bu başvurunun gerekçesi ise hayli ilginçtir: Ortega’nın </w:t>
      </w:r>
      <w:r w:rsidR="00F23B17" w:rsidRPr="00247141">
        <w:rPr>
          <w:sz w:val="24"/>
          <w:szCs w:val="24"/>
        </w:rPr>
        <w:t>bir kez daha devlet başkanı olarak seçilmesini engelleyen anayasa hükmünün bizatihi kendisi anayasaya aykırı bir anayasa hükmüdür.</w:t>
      </w:r>
      <w:r w:rsidR="00F23B17" w:rsidRPr="00247141">
        <w:rPr>
          <w:rStyle w:val="FootnoteReference"/>
          <w:sz w:val="24"/>
          <w:szCs w:val="24"/>
        </w:rPr>
        <w:footnoteReference w:id="43"/>
      </w:r>
      <w:r w:rsidR="00984218" w:rsidRPr="00247141">
        <w:rPr>
          <w:sz w:val="24"/>
          <w:szCs w:val="24"/>
        </w:rPr>
        <w:t xml:space="preserve"> Yoğun baskı ve mahkeme üyelerinin Ortega lehine değiştirilmesinin ardından bu hüküm Mahkeme tarafından iptal edilmiş ve Ortega bir kez daha seçilebilmiş;</w:t>
      </w:r>
      <w:r w:rsidR="0026660D" w:rsidRPr="00247141">
        <w:rPr>
          <w:sz w:val="24"/>
          <w:szCs w:val="24"/>
        </w:rPr>
        <w:t xml:space="preserve"> bu seçimi takiben bu sefer nitelikli çoğunluğu alan Ortega müttefikleri devlet başkanın görev süresine ilişkin anayasa hükümlerini yürürlükten kaldırmışlardır.</w:t>
      </w:r>
    </w:p>
    <w:p w14:paraId="47B14574" w14:textId="37B7969A" w:rsidR="00747E3C" w:rsidRPr="00247141" w:rsidRDefault="00747E3C" w:rsidP="0019688A">
      <w:pPr>
        <w:pStyle w:val="ListParagraph"/>
        <w:numPr>
          <w:ilvl w:val="0"/>
          <w:numId w:val="2"/>
        </w:numPr>
        <w:rPr>
          <w:i/>
          <w:iCs/>
          <w:sz w:val="24"/>
          <w:szCs w:val="24"/>
        </w:rPr>
      </w:pPr>
      <w:r w:rsidRPr="00247141">
        <w:rPr>
          <w:i/>
          <w:iCs/>
          <w:sz w:val="24"/>
          <w:szCs w:val="24"/>
        </w:rPr>
        <w:t>Hukuk Devletini</w:t>
      </w:r>
      <w:r w:rsidR="0019688A" w:rsidRPr="00247141">
        <w:rPr>
          <w:i/>
          <w:iCs/>
          <w:sz w:val="24"/>
          <w:szCs w:val="24"/>
        </w:rPr>
        <w:t xml:space="preserve"> İlkesinin</w:t>
      </w:r>
      <w:r w:rsidRPr="00247141">
        <w:rPr>
          <w:i/>
          <w:iCs/>
          <w:sz w:val="24"/>
          <w:szCs w:val="24"/>
        </w:rPr>
        <w:t xml:space="preserve"> Aşınması ve Türk Anayasa Mahkemesi</w:t>
      </w:r>
    </w:p>
    <w:p w14:paraId="588765AE" w14:textId="77777777" w:rsidR="00730540" w:rsidRPr="00247141" w:rsidRDefault="00730540" w:rsidP="00730540">
      <w:pPr>
        <w:pStyle w:val="ListParagraph"/>
        <w:rPr>
          <w:i/>
          <w:iCs/>
          <w:sz w:val="24"/>
          <w:szCs w:val="24"/>
        </w:rPr>
      </w:pPr>
    </w:p>
    <w:p w14:paraId="0D8148D5" w14:textId="64DBD889" w:rsidR="00730540" w:rsidRPr="00247141" w:rsidRDefault="00730540" w:rsidP="00730540">
      <w:pPr>
        <w:pStyle w:val="ListParagraph"/>
        <w:numPr>
          <w:ilvl w:val="0"/>
          <w:numId w:val="3"/>
        </w:numPr>
        <w:rPr>
          <w:i/>
          <w:iCs/>
          <w:sz w:val="24"/>
          <w:szCs w:val="24"/>
        </w:rPr>
      </w:pPr>
      <w:r w:rsidRPr="00247141">
        <w:rPr>
          <w:i/>
          <w:iCs/>
          <w:sz w:val="24"/>
          <w:szCs w:val="24"/>
        </w:rPr>
        <w:t>Anayasa Mahkemesinin Bireysel Başvuru Yolunda Vermiş Olduğu Kararlar ve Objektif Etki Sorunu</w:t>
      </w:r>
    </w:p>
    <w:p w14:paraId="55F6F1E2" w14:textId="3C15B3C8" w:rsidR="00DB12AE" w:rsidRPr="00247141" w:rsidRDefault="00C37F43" w:rsidP="00237CA2">
      <w:pPr>
        <w:jc w:val="both"/>
        <w:rPr>
          <w:rFonts w:ascii="Times New Roman" w:hAnsi="Times New Roman" w:cs="Times New Roman"/>
          <w:sz w:val="24"/>
          <w:szCs w:val="24"/>
        </w:rPr>
      </w:pPr>
      <w:r w:rsidRPr="00247141">
        <w:rPr>
          <w:rFonts w:ascii="Times New Roman" w:hAnsi="Times New Roman" w:cs="Times New Roman"/>
          <w:sz w:val="24"/>
          <w:szCs w:val="24"/>
        </w:rPr>
        <w:t>Yukarıda ortaya konduğu gibi hukuk devletinin aşınması olgusu Türkiye’de</w:t>
      </w:r>
      <w:r w:rsidR="00823185" w:rsidRPr="00247141">
        <w:rPr>
          <w:rFonts w:ascii="Times New Roman" w:hAnsi="Times New Roman" w:cs="Times New Roman"/>
          <w:sz w:val="24"/>
          <w:szCs w:val="24"/>
        </w:rPr>
        <w:t xml:space="preserve"> de </w:t>
      </w:r>
      <w:r w:rsidRPr="00247141">
        <w:rPr>
          <w:rFonts w:ascii="Times New Roman" w:hAnsi="Times New Roman" w:cs="Times New Roman"/>
          <w:sz w:val="24"/>
          <w:szCs w:val="24"/>
        </w:rPr>
        <w:t xml:space="preserve"> </w:t>
      </w:r>
      <w:r w:rsidR="006115CB" w:rsidRPr="00247141">
        <w:rPr>
          <w:rFonts w:ascii="Times New Roman" w:hAnsi="Times New Roman" w:cs="Times New Roman"/>
          <w:sz w:val="24"/>
          <w:szCs w:val="24"/>
        </w:rPr>
        <w:t>Türk</w:t>
      </w:r>
      <w:r w:rsidRPr="00247141">
        <w:rPr>
          <w:rFonts w:ascii="Times New Roman" w:hAnsi="Times New Roman" w:cs="Times New Roman"/>
          <w:sz w:val="24"/>
          <w:szCs w:val="24"/>
        </w:rPr>
        <w:t xml:space="preserve"> Anayasa Mahkemesi’nin önüne çeşitli davalar vesilesiyle gelmiştir. Bu davalara ilişkin kararlar gerek bireysel başvuru gerekse norm denetimi yolunda verilmiş olup, bu tebliğde sadece norm denetimi yolunda verilen  bazı kararlar ele alınacaktır.</w:t>
      </w:r>
      <w:r w:rsidR="00CD1782" w:rsidRPr="00247141">
        <w:rPr>
          <w:rFonts w:ascii="Times New Roman" w:hAnsi="Times New Roman" w:cs="Times New Roman"/>
          <w:sz w:val="24"/>
          <w:szCs w:val="24"/>
        </w:rPr>
        <w:t xml:space="preserve"> Bu noktada belirtmek gerekir ki 2010 anayasa değişikliği ile  </w:t>
      </w:r>
      <w:r w:rsidR="00A158E4" w:rsidRPr="00247141">
        <w:rPr>
          <w:rFonts w:ascii="Times New Roman" w:hAnsi="Times New Roman" w:cs="Times New Roman"/>
          <w:sz w:val="24"/>
          <w:szCs w:val="24"/>
        </w:rPr>
        <w:t xml:space="preserve">kamu gücü tarafından temel hakkının ihlal edildiğini ileri süren herkese </w:t>
      </w:r>
      <w:r w:rsidR="00CD1782" w:rsidRPr="00247141">
        <w:rPr>
          <w:rFonts w:ascii="Times New Roman" w:hAnsi="Times New Roman" w:cs="Times New Roman"/>
          <w:sz w:val="24"/>
          <w:szCs w:val="24"/>
        </w:rPr>
        <w:t xml:space="preserve">anayasa mahkemesine bireysel başvuru yapma olanağı getirilmiş ve  böylece hem temel hak ve özgürlüklerin ulusal düzlemde </w:t>
      </w:r>
      <w:r w:rsidR="00A158E4" w:rsidRPr="00247141">
        <w:rPr>
          <w:rFonts w:ascii="Times New Roman" w:hAnsi="Times New Roman" w:cs="Times New Roman"/>
          <w:sz w:val="24"/>
          <w:szCs w:val="24"/>
        </w:rPr>
        <w:t xml:space="preserve">korunması </w:t>
      </w:r>
      <w:r w:rsidR="00532EDC" w:rsidRPr="00247141">
        <w:rPr>
          <w:rFonts w:ascii="Times New Roman" w:hAnsi="Times New Roman" w:cs="Times New Roman"/>
          <w:sz w:val="24"/>
          <w:szCs w:val="24"/>
        </w:rPr>
        <w:t>hem de</w:t>
      </w:r>
      <w:r w:rsidR="00A158E4" w:rsidRPr="00247141">
        <w:rPr>
          <w:rFonts w:ascii="Times New Roman" w:hAnsi="Times New Roman" w:cs="Times New Roman"/>
          <w:sz w:val="24"/>
          <w:szCs w:val="24"/>
        </w:rPr>
        <w:t xml:space="preserve"> </w:t>
      </w:r>
      <w:r w:rsidR="003250D3" w:rsidRPr="00247141">
        <w:rPr>
          <w:rFonts w:ascii="Times New Roman" w:hAnsi="Times New Roman" w:cs="Times New Roman"/>
          <w:sz w:val="24"/>
          <w:szCs w:val="24"/>
        </w:rPr>
        <w:t>Avrupa İnsan Hakları Mahkemesi kararları</w:t>
      </w:r>
      <w:r w:rsidR="00A158E4" w:rsidRPr="00247141">
        <w:rPr>
          <w:rFonts w:ascii="Times New Roman" w:hAnsi="Times New Roman" w:cs="Times New Roman"/>
          <w:sz w:val="24"/>
          <w:szCs w:val="24"/>
        </w:rPr>
        <w:t xml:space="preserve"> öncesi temel hak ihlali iddialarının öncelikle </w:t>
      </w:r>
      <w:r w:rsidR="00532EDC" w:rsidRPr="00247141">
        <w:rPr>
          <w:rFonts w:ascii="Times New Roman" w:hAnsi="Times New Roman" w:cs="Times New Roman"/>
          <w:sz w:val="24"/>
          <w:szCs w:val="24"/>
        </w:rPr>
        <w:t xml:space="preserve">ulusal bir mahkeme olan </w:t>
      </w:r>
      <w:r w:rsidR="00A158E4" w:rsidRPr="00247141">
        <w:rPr>
          <w:rFonts w:ascii="Times New Roman" w:hAnsi="Times New Roman" w:cs="Times New Roman"/>
          <w:sz w:val="24"/>
          <w:szCs w:val="24"/>
        </w:rPr>
        <w:t>Anayasa Mahkemesi önünde görüşülmesi amaçlanmıştır. Mahkeme’nin genel olarak 2012 sonrası vermiş olduğu kararlara genel olarak bakıldığında ifade özgürlüğünden</w:t>
      </w:r>
      <w:r w:rsidR="00A158E4" w:rsidRPr="00247141">
        <w:rPr>
          <w:rStyle w:val="FootnoteReference"/>
          <w:rFonts w:ascii="Times New Roman" w:hAnsi="Times New Roman" w:cs="Times New Roman"/>
          <w:sz w:val="24"/>
          <w:szCs w:val="24"/>
        </w:rPr>
        <w:footnoteReference w:id="44"/>
      </w:r>
      <w:r w:rsidR="00A158E4" w:rsidRPr="00247141">
        <w:rPr>
          <w:rFonts w:ascii="Times New Roman" w:hAnsi="Times New Roman" w:cs="Times New Roman"/>
          <w:sz w:val="24"/>
          <w:szCs w:val="24"/>
        </w:rPr>
        <w:t>, toplanma özgürlüğüne</w:t>
      </w:r>
      <w:r w:rsidR="00A158E4" w:rsidRPr="00247141">
        <w:rPr>
          <w:rStyle w:val="FootnoteReference"/>
          <w:rFonts w:ascii="Times New Roman" w:hAnsi="Times New Roman" w:cs="Times New Roman"/>
          <w:sz w:val="24"/>
          <w:szCs w:val="24"/>
        </w:rPr>
        <w:footnoteReference w:id="45"/>
      </w:r>
      <w:r w:rsidR="00A158E4" w:rsidRPr="00247141">
        <w:rPr>
          <w:rFonts w:ascii="Times New Roman" w:hAnsi="Times New Roman" w:cs="Times New Roman"/>
          <w:sz w:val="24"/>
          <w:szCs w:val="24"/>
        </w:rPr>
        <w:t xml:space="preserve">, kişi </w:t>
      </w:r>
      <w:r w:rsidR="00A158E4" w:rsidRPr="00247141">
        <w:rPr>
          <w:rFonts w:ascii="Times New Roman" w:hAnsi="Times New Roman" w:cs="Times New Roman"/>
          <w:sz w:val="24"/>
          <w:szCs w:val="24"/>
        </w:rPr>
        <w:lastRenderedPageBreak/>
        <w:t>özgürlüğü ve güvenliği hakkından</w:t>
      </w:r>
      <w:r w:rsidR="00A158E4" w:rsidRPr="00247141">
        <w:rPr>
          <w:rStyle w:val="FootnoteReference"/>
          <w:rFonts w:ascii="Times New Roman" w:hAnsi="Times New Roman" w:cs="Times New Roman"/>
          <w:sz w:val="24"/>
          <w:szCs w:val="24"/>
        </w:rPr>
        <w:footnoteReference w:id="46"/>
      </w:r>
      <w:r w:rsidR="00A158E4" w:rsidRPr="00247141">
        <w:rPr>
          <w:rFonts w:ascii="Times New Roman" w:hAnsi="Times New Roman" w:cs="Times New Roman"/>
          <w:sz w:val="24"/>
          <w:szCs w:val="24"/>
        </w:rPr>
        <w:t xml:space="preserve"> grev hakkına</w:t>
      </w:r>
      <w:r w:rsidR="00A158E4" w:rsidRPr="00247141">
        <w:rPr>
          <w:rStyle w:val="FootnoteReference"/>
          <w:rFonts w:ascii="Times New Roman" w:hAnsi="Times New Roman" w:cs="Times New Roman"/>
          <w:sz w:val="24"/>
          <w:szCs w:val="24"/>
        </w:rPr>
        <w:footnoteReference w:id="47"/>
      </w:r>
      <w:r w:rsidR="00A158E4" w:rsidRPr="00247141">
        <w:rPr>
          <w:rFonts w:ascii="Times New Roman" w:hAnsi="Times New Roman" w:cs="Times New Roman"/>
          <w:sz w:val="24"/>
          <w:szCs w:val="24"/>
        </w:rPr>
        <w:t xml:space="preserve"> kadar  farklı bir çok temel hakka ilişkin özgürlükler lehinde </w:t>
      </w:r>
      <w:r w:rsidR="00532EDC" w:rsidRPr="00247141">
        <w:rPr>
          <w:rFonts w:ascii="Times New Roman" w:hAnsi="Times New Roman" w:cs="Times New Roman"/>
          <w:sz w:val="24"/>
          <w:szCs w:val="24"/>
        </w:rPr>
        <w:t xml:space="preserve">kritik </w:t>
      </w:r>
      <w:r w:rsidR="00A158E4" w:rsidRPr="00247141">
        <w:rPr>
          <w:rFonts w:ascii="Times New Roman" w:hAnsi="Times New Roman" w:cs="Times New Roman"/>
          <w:sz w:val="24"/>
          <w:szCs w:val="24"/>
        </w:rPr>
        <w:t xml:space="preserve">kararlar </w:t>
      </w:r>
      <w:r w:rsidR="00532EDC" w:rsidRPr="00247141">
        <w:rPr>
          <w:rFonts w:ascii="Times New Roman" w:hAnsi="Times New Roman" w:cs="Times New Roman"/>
          <w:sz w:val="24"/>
          <w:szCs w:val="24"/>
        </w:rPr>
        <w:t>verdiği söylenebilmektedir</w:t>
      </w:r>
      <w:r w:rsidR="003250D3" w:rsidRPr="00247141">
        <w:rPr>
          <w:rFonts w:ascii="Times New Roman" w:hAnsi="Times New Roman" w:cs="Times New Roman"/>
          <w:sz w:val="24"/>
          <w:szCs w:val="24"/>
        </w:rPr>
        <w:t xml:space="preserve">. Ancak bu kararların ortaya koyduğu yapısal sorunların giderildiğini söylemek </w:t>
      </w:r>
      <w:r w:rsidR="00532EDC" w:rsidRPr="00247141">
        <w:rPr>
          <w:rFonts w:ascii="Times New Roman" w:hAnsi="Times New Roman" w:cs="Times New Roman"/>
          <w:sz w:val="24"/>
          <w:szCs w:val="24"/>
        </w:rPr>
        <w:t xml:space="preserve">ise oldukça </w:t>
      </w:r>
      <w:r w:rsidR="003250D3" w:rsidRPr="00247141">
        <w:rPr>
          <w:rFonts w:ascii="Times New Roman" w:hAnsi="Times New Roman" w:cs="Times New Roman"/>
          <w:sz w:val="24"/>
          <w:szCs w:val="24"/>
        </w:rPr>
        <w:t>zordur; özellikle gerek ifade özgürlüğü gerekse toplanma özgürlüğü husunda ihlallerin halen devam ettiği</w:t>
      </w:r>
      <w:r w:rsidR="00EF5925" w:rsidRPr="00247141">
        <w:rPr>
          <w:rFonts w:ascii="Times New Roman" w:hAnsi="Times New Roman" w:cs="Times New Roman"/>
          <w:sz w:val="24"/>
          <w:szCs w:val="24"/>
        </w:rPr>
        <w:t>;</w:t>
      </w:r>
      <w:r w:rsidR="003250D3" w:rsidRPr="00247141">
        <w:rPr>
          <w:rFonts w:ascii="Times New Roman" w:hAnsi="Times New Roman" w:cs="Times New Roman"/>
          <w:sz w:val="24"/>
          <w:szCs w:val="24"/>
        </w:rPr>
        <w:t xml:space="preserve"> gerek Mahkeme’nin aynı hususta vermeye devam ettiği kararlar</w:t>
      </w:r>
      <w:r w:rsidR="00532EDC" w:rsidRPr="00247141">
        <w:rPr>
          <w:rFonts w:ascii="Times New Roman" w:hAnsi="Times New Roman" w:cs="Times New Roman"/>
          <w:sz w:val="24"/>
          <w:szCs w:val="24"/>
        </w:rPr>
        <w:t>,</w:t>
      </w:r>
      <w:r w:rsidR="003250D3" w:rsidRPr="00247141">
        <w:rPr>
          <w:rFonts w:ascii="Times New Roman" w:hAnsi="Times New Roman" w:cs="Times New Roman"/>
          <w:sz w:val="24"/>
          <w:szCs w:val="24"/>
        </w:rPr>
        <w:t xml:space="preserve"> gerekse baro</w:t>
      </w:r>
      <w:r w:rsidR="003250D3" w:rsidRPr="00247141">
        <w:rPr>
          <w:rStyle w:val="FootnoteReference"/>
          <w:rFonts w:ascii="Times New Roman" w:hAnsi="Times New Roman" w:cs="Times New Roman"/>
          <w:sz w:val="24"/>
          <w:szCs w:val="24"/>
        </w:rPr>
        <w:footnoteReference w:id="48"/>
      </w:r>
      <w:r w:rsidR="003250D3" w:rsidRPr="00247141">
        <w:rPr>
          <w:rFonts w:ascii="Times New Roman" w:hAnsi="Times New Roman" w:cs="Times New Roman"/>
          <w:sz w:val="24"/>
          <w:szCs w:val="24"/>
        </w:rPr>
        <w:t xml:space="preserve"> ve sivil toplum kuruşlarınca ortaya konmaktadır.</w:t>
      </w:r>
      <w:r w:rsidR="0081574D" w:rsidRPr="00247141">
        <w:rPr>
          <w:rFonts w:ascii="Times New Roman" w:hAnsi="Times New Roman" w:cs="Times New Roman"/>
          <w:sz w:val="24"/>
          <w:szCs w:val="24"/>
        </w:rPr>
        <w:t xml:space="preserve"> Bu durum ise bireysel başvurunun</w:t>
      </w:r>
      <w:r w:rsidR="00304329" w:rsidRPr="00247141">
        <w:rPr>
          <w:rFonts w:ascii="Times New Roman" w:hAnsi="Times New Roman" w:cs="Times New Roman"/>
          <w:sz w:val="24"/>
          <w:szCs w:val="24"/>
        </w:rPr>
        <w:t xml:space="preserve"> sübjektif etkisi</w:t>
      </w:r>
      <w:r w:rsidR="002862B9" w:rsidRPr="00247141">
        <w:rPr>
          <w:rStyle w:val="FootnoteReference"/>
          <w:rFonts w:ascii="Times New Roman" w:hAnsi="Times New Roman" w:cs="Times New Roman"/>
          <w:sz w:val="24"/>
          <w:szCs w:val="24"/>
        </w:rPr>
        <w:footnoteReference w:id="49"/>
      </w:r>
      <w:r w:rsidR="00304329" w:rsidRPr="00247141">
        <w:rPr>
          <w:rFonts w:ascii="Times New Roman" w:hAnsi="Times New Roman" w:cs="Times New Roman"/>
          <w:sz w:val="24"/>
          <w:szCs w:val="24"/>
        </w:rPr>
        <w:t xml:space="preserve"> ne kadar gerçekleştirilse gerçekleştirilsin</w:t>
      </w:r>
      <w:r w:rsidR="0081574D" w:rsidRPr="00247141">
        <w:rPr>
          <w:rFonts w:ascii="Times New Roman" w:hAnsi="Times New Roman" w:cs="Times New Roman"/>
          <w:sz w:val="24"/>
          <w:szCs w:val="24"/>
        </w:rPr>
        <w:t xml:space="preserve"> objektif </w:t>
      </w:r>
      <w:r w:rsidR="00304329" w:rsidRPr="00247141">
        <w:rPr>
          <w:rFonts w:ascii="Times New Roman" w:hAnsi="Times New Roman" w:cs="Times New Roman"/>
          <w:sz w:val="24"/>
          <w:szCs w:val="24"/>
        </w:rPr>
        <w:t>etkisinin</w:t>
      </w:r>
      <w:r w:rsidR="0081574D" w:rsidRPr="00247141">
        <w:rPr>
          <w:rStyle w:val="FootnoteReference"/>
          <w:rFonts w:ascii="Times New Roman" w:hAnsi="Times New Roman" w:cs="Times New Roman"/>
          <w:sz w:val="24"/>
          <w:szCs w:val="24"/>
        </w:rPr>
        <w:footnoteReference w:id="50"/>
      </w:r>
      <w:r w:rsidR="00304329" w:rsidRPr="00247141">
        <w:rPr>
          <w:rFonts w:ascii="Times New Roman" w:hAnsi="Times New Roman" w:cs="Times New Roman"/>
          <w:sz w:val="24"/>
          <w:szCs w:val="24"/>
        </w:rPr>
        <w:t xml:space="preserve"> gerçekleştirilmesinin</w:t>
      </w:r>
      <w:r w:rsidR="0081574D" w:rsidRPr="00247141">
        <w:rPr>
          <w:rFonts w:ascii="Times New Roman" w:hAnsi="Times New Roman" w:cs="Times New Roman"/>
          <w:sz w:val="24"/>
          <w:szCs w:val="24"/>
        </w:rPr>
        <w:t xml:space="preserve"> </w:t>
      </w:r>
      <w:r w:rsidR="00304329" w:rsidRPr="00247141">
        <w:rPr>
          <w:rFonts w:ascii="Times New Roman" w:hAnsi="Times New Roman" w:cs="Times New Roman"/>
          <w:sz w:val="24"/>
          <w:szCs w:val="24"/>
        </w:rPr>
        <w:t>bahsedilen bu haklar için kamu makamlarınca sağlanmadığını ortaya koymaktadır.</w:t>
      </w:r>
      <w:r w:rsidR="00304329" w:rsidRPr="00247141">
        <w:rPr>
          <w:rStyle w:val="FootnoteReference"/>
          <w:rFonts w:ascii="Times New Roman" w:hAnsi="Times New Roman" w:cs="Times New Roman"/>
          <w:sz w:val="24"/>
          <w:szCs w:val="24"/>
        </w:rPr>
        <w:footnoteReference w:id="51"/>
      </w:r>
    </w:p>
    <w:p w14:paraId="03575F91" w14:textId="33389DE3" w:rsidR="007907EB" w:rsidRPr="00247141" w:rsidRDefault="007907EB" w:rsidP="007907EB">
      <w:pPr>
        <w:pStyle w:val="ListParagraph"/>
        <w:numPr>
          <w:ilvl w:val="0"/>
          <w:numId w:val="3"/>
        </w:numPr>
        <w:jc w:val="both"/>
        <w:rPr>
          <w:rFonts w:ascii="Times New Roman" w:hAnsi="Times New Roman" w:cs="Times New Roman"/>
          <w:i/>
          <w:iCs/>
          <w:sz w:val="24"/>
          <w:szCs w:val="24"/>
        </w:rPr>
      </w:pPr>
      <w:r w:rsidRPr="00247141">
        <w:rPr>
          <w:rFonts w:ascii="Times New Roman" w:hAnsi="Times New Roman" w:cs="Times New Roman"/>
          <w:i/>
          <w:iCs/>
          <w:sz w:val="24"/>
          <w:szCs w:val="24"/>
        </w:rPr>
        <w:t>Anayasa Mahkemesinin Norm Denetimi Yolunda Vermiş Olduğu Bazı Kararların Hukuk Devletinin Korunması Açısından Değerlendirilmesi</w:t>
      </w:r>
    </w:p>
    <w:p w14:paraId="34A24C58" w14:textId="0852F7F7" w:rsidR="002D6B0E" w:rsidRPr="00247141" w:rsidRDefault="007907EB" w:rsidP="00237CA2">
      <w:pPr>
        <w:jc w:val="both"/>
        <w:rPr>
          <w:rFonts w:ascii="Times New Roman" w:hAnsi="Times New Roman" w:cs="Times New Roman"/>
          <w:sz w:val="24"/>
          <w:szCs w:val="24"/>
        </w:rPr>
      </w:pPr>
      <w:r w:rsidRPr="00247141">
        <w:rPr>
          <w:rFonts w:ascii="Times New Roman" w:hAnsi="Times New Roman" w:cs="Times New Roman"/>
          <w:sz w:val="24"/>
          <w:szCs w:val="24"/>
        </w:rPr>
        <w:t>Yukarıda belirtilen bireysel başvuruya ilişkin kararl</w:t>
      </w:r>
      <w:r w:rsidR="00532EDC" w:rsidRPr="00247141">
        <w:rPr>
          <w:rFonts w:ascii="Times New Roman" w:hAnsi="Times New Roman" w:cs="Times New Roman"/>
          <w:sz w:val="24"/>
          <w:szCs w:val="24"/>
        </w:rPr>
        <w:t>ar</w:t>
      </w:r>
      <w:r w:rsidRPr="00247141">
        <w:rPr>
          <w:rFonts w:ascii="Times New Roman" w:hAnsi="Times New Roman" w:cs="Times New Roman"/>
          <w:sz w:val="24"/>
          <w:szCs w:val="24"/>
        </w:rPr>
        <w:t>daki tutumunun aksine</w:t>
      </w:r>
      <w:r w:rsidR="00E5541B" w:rsidRPr="00247141">
        <w:rPr>
          <w:rFonts w:ascii="Times New Roman" w:hAnsi="Times New Roman" w:cs="Times New Roman"/>
          <w:sz w:val="24"/>
          <w:szCs w:val="24"/>
        </w:rPr>
        <w:t xml:space="preserve"> Türk Anayasa Mahkemesinin norm denetimi yolunda vermiş olduğu</w:t>
      </w:r>
      <w:r w:rsidRPr="00247141">
        <w:rPr>
          <w:rFonts w:ascii="Times New Roman" w:hAnsi="Times New Roman" w:cs="Times New Roman"/>
          <w:sz w:val="24"/>
          <w:szCs w:val="24"/>
        </w:rPr>
        <w:t xml:space="preserve"> ve hukuk devletinin aşınmasına ilişkin kritik kavşakta verdiği bazı</w:t>
      </w:r>
      <w:r w:rsidR="00E5541B" w:rsidRPr="00247141">
        <w:rPr>
          <w:rFonts w:ascii="Times New Roman" w:hAnsi="Times New Roman" w:cs="Times New Roman"/>
          <w:sz w:val="24"/>
          <w:szCs w:val="24"/>
        </w:rPr>
        <w:t xml:space="preserve"> kararlar ise </w:t>
      </w:r>
      <w:r w:rsidR="00532EDC" w:rsidRPr="00247141">
        <w:rPr>
          <w:rFonts w:ascii="Times New Roman" w:hAnsi="Times New Roman" w:cs="Times New Roman"/>
          <w:sz w:val="24"/>
          <w:szCs w:val="24"/>
        </w:rPr>
        <w:t>aynı istikamette olmayıp</w:t>
      </w:r>
      <w:r w:rsidR="00E5541B" w:rsidRPr="00247141">
        <w:rPr>
          <w:rFonts w:ascii="Times New Roman" w:hAnsi="Times New Roman" w:cs="Times New Roman"/>
          <w:sz w:val="24"/>
          <w:szCs w:val="24"/>
        </w:rPr>
        <w:t>, kritik aşamalarda mahkemenin özellikle hukuk devletinin aşınmasına yol açacak kanunların anayasaya aykırılık iddialarını reddettiğini tespit etmek mümkündür. Bu tebliğ</w:t>
      </w:r>
      <w:r w:rsidR="00532EDC" w:rsidRPr="00247141">
        <w:rPr>
          <w:rFonts w:ascii="Times New Roman" w:hAnsi="Times New Roman" w:cs="Times New Roman"/>
          <w:sz w:val="24"/>
          <w:szCs w:val="24"/>
        </w:rPr>
        <w:t xml:space="preserve">in </w:t>
      </w:r>
      <w:r w:rsidR="00E5541B" w:rsidRPr="00247141">
        <w:rPr>
          <w:rFonts w:ascii="Times New Roman" w:hAnsi="Times New Roman" w:cs="Times New Roman"/>
          <w:sz w:val="24"/>
          <w:szCs w:val="24"/>
        </w:rPr>
        <w:t xml:space="preserve"> kapsamında</w:t>
      </w:r>
      <w:r w:rsidR="009968D9" w:rsidRPr="00247141">
        <w:rPr>
          <w:rFonts w:ascii="Times New Roman" w:hAnsi="Times New Roman" w:cs="Times New Roman"/>
          <w:sz w:val="24"/>
          <w:szCs w:val="24"/>
        </w:rPr>
        <w:t xml:space="preserve"> bu kararların tamamını ele almak söz konusu olmadığından,</w:t>
      </w:r>
      <w:r w:rsidR="00E5541B" w:rsidRPr="00247141">
        <w:rPr>
          <w:rFonts w:ascii="Times New Roman" w:hAnsi="Times New Roman" w:cs="Times New Roman"/>
          <w:sz w:val="24"/>
          <w:szCs w:val="24"/>
        </w:rPr>
        <w:t xml:space="preserve"> 3 kritik karar</w:t>
      </w:r>
      <w:r w:rsidR="009968D9" w:rsidRPr="00247141">
        <w:rPr>
          <w:rFonts w:ascii="Times New Roman" w:hAnsi="Times New Roman" w:cs="Times New Roman"/>
          <w:sz w:val="24"/>
          <w:szCs w:val="24"/>
        </w:rPr>
        <w:t>ın</w:t>
      </w:r>
      <w:r w:rsidR="00E5541B" w:rsidRPr="00247141">
        <w:rPr>
          <w:rFonts w:ascii="Times New Roman" w:hAnsi="Times New Roman" w:cs="Times New Roman"/>
          <w:sz w:val="24"/>
          <w:szCs w:val="24"/>
        </w:rPr>
        <w:t xml:space="preserve"> </w:t>
      </w:r>
      <w:r w:rsidR="009968D9" w:rsidRPr="00247141">
        <w:rPr>
          <w:rFonts w:ascii="Times New Roman" w:hAnsi="Times New Roman" w:cs="Times New Roman"/>
          <w:sz w:val="24"/>
          <w:szCs w:val="24"/>
        </w:rPr>
        <w:t xml:space="preserve"> kısaca </w:t>
      </w:r>
      <w:r w:rsidR="00E5541B" w:rsidRPr="00247141">
        <w:rPr>
          <w:rFonts w:ascii="Times New Roman" w:hAnsi="Times New Roman" w:cs="Times New Roman"/>
          <w:sz w:val="24"/>
          <w:szCs w:val="24"/>
        </w:rPr>
        <w:t>ele alın</w:t>
      </w:r>
      <w:r w:rsidR="009968D9" w:rsidRPr="00247141">
        <w:rPr>
          <w:rFonts w:ascii="Times New Roman" w:hAnsi="Times New Roman" w:cs="Times New Roman"/>
          <w:sz w:val="24"/>
          <w:szCs w:val="24"/>
        </w:rPr>
        <w:t>ması doğru bulunmuştur</w:t>
      </w:r>
      <w:r w:rsidR="00E5541B" w:rsidRPr="00247141">
        <w:rPr>
          <w:rFonts w:ascii="Times New Roman" w:hAnsi="Times New Roman" w:cs="Times New Roman"/>
          <w:sz w:val="24"/>
          <w:szCs w:val="24"/>
        </w:rPr>
        <w:t>. Bunlardan ilki</w:t>
      </w:r>
      <w:r w:rsidR="001E5ECB" w:rsidRPr="00247141">
        <w:rPr>
          <w:rFonts w:ascii="Times New Roman" w:hAnsi="Times New Roman" w:cs="Times New Roman"/>
          <w:sz w:val="24"/>
          <w:szCs w:val="24"/>
        </w:rPr>
        <w:t xml:space="preserve"> </w:t>
      </w:r>
      <w:r w:rsidR="00C37F43" w:rsidRPr="00247141">
        <w:rPr>
          <w:rFonts w:ascii="Times New Roman" w:hAnsi="Times New Roman" w:cs="Times New Roman"/>
          <w:sz w:val="24"/>
          <w:szCs w:val="24"/>
        </w:rPr>
        <w:t>Türkiye’de yargı bağımsızlığına ilişkin tartışmalar</w:t>
      </w:r>
      <w:r w:rsidR="007D5EF3" w:rsidRPr="00247141">
        <w:rPr>
          <w:rFonts w:ascii="Times New Roman" w:hAnsi="Times New Roman" w:cs="Times New Roman"/>
          <w:sz w:val="24"/>
          <w:szCs w:val="24"/>
        </w:rPr>
        <w:t xml:space="preserve">da halen değinilmekte olan </w:t>
      </w:r>
      <w:r w:rsidR="00C37F43" w:rsidRPr="00247141">
        <w:rPr>
          <w:rFonts w:ascii="Times New Roman" w:hAnsi="Times New Roman" w:cs="Times New Roman"/>
          <w:sz w:val="24"/>
          <w:szCs w:val="24"/>
        </w:rPr>
        <w:t xml:space="preserve">2010 </w:t>
      </w:r>
      <w:r w:rsidR="003040AD" w:rsidRPr="00247141">
        <w:rPr>
          <w:rFonts w:ascii="Times New Roman" w:hAnsi="Times New Roman" w:cs="Times New Roman"/>
          <w:sz w:val="24"/>
          <w:szCs w:val="24"/>
        </w:rPr>
        <w:t>A</w:t>
      </w:r>
      <w:r w:rsidR="00C37F43" w:rsidRPr="00247141">
        <w:rPr>
          <w:rFonts w:ascii="Times New Roman" w:hAnsi="Times New Roman" w:cs="Times New Roman"/>
          <w:sz w:val="24"/>
          <w:szCs w:val="24"/>
        </w:rPr>
        <w:t xml:space="preserve">nayasa </w:t>
      </w:r>
      <w:r w:rsidR="003040AD" w:rsidRPr="00247141">
        <w:rPr>
          <w:rFonts w:ascii="Times New Roman" w:hAnsi="Times New Roman" w:cs="Times New Roman"/>
          <w:sz w:val="24"/>
          <w:szCs w:val="24"/>
        </w:rPr>
        <w:t>D</w:t>
      </w:r>
      <w:r w:rsidR="00C37F43" w:rsidRPr="00247141">
        <w:rPr>
          <w:rFonts w:ascii="Times New Roman" w:hAnsi="Times New Roman" w:cs="Times New Roman"/>
          <w:sz w:val="24"/>
          <w:szCs w:val="24"/>
        </w:rPr>
        <w:t>eğişikliği</w:t>
      </w:r>
      <w:r w:rsidR="00237CA2" w:rsidRPr="00247141">
        <w:rPr>
          <w:rFonts w:ascii="Times New Roman" w:hAnsi="Times New Roman" w:cs="Times New Roman"/>
          <w:sz w:val="24"/>
          <w:szCs w:val="24"/>
        </w:rPr>
        <w:t>ne ilişkin</w:t>
      </w:r>
      <w:r w:rsidR="00245914" w:rsidRPr="00247141">
        <w:rPr>
          <w:rFonts w:ascii="Times New Roman" w:hAnsi="Times New Roman" w:cs="Times New Roman"/>
          <w:sz w:val="24"/>
          <w:szCs w:val="24"/>
        </w:rPr>
        <w:t xml:space="preserve"> Anayasa Mahkemesi’nin(AYM)</w:t>
      </w:r>
      <w:r w:rsidR="00237CA2" w:rsidRPr="00247141">
        <w:rPr>
          <w:rFonts w:ascii="Times New Roman" w:hAnsi="Times New Roman" w:cs="Times New Roman"/>
          <w:sz w:val="24"/>
          <w:szCs w:val="24"/>
        </w:rPr>
        <w:t xml:space="preserve"> karar</w:t>
      </w:r>
      <w:r w:rsidR="00E5541B" w:rsidRPr="00247141">
        <w:rPr>
          <w:rFonts w:ascii="Times New Roman" w:hAnsi="Times New Roman" w:cs="Times New Roman"/>
          <w:sz w:val="24"/>
          <w:szCs w:val="24"/>
        </w:rPr>
        <w:t>ıdır.</w:t>
      </w:r>
      <w:r w:rsidR="00237CA2" w:rsidRPr="00247141">
        <w:rPr>
          <w:rStyle w:val="FootnoteReference"/>
          <w:rFonts w:ascii="Times New Roman" w:hAnsi="Times New Roman" w:cs="Times New Roman"/>
          <w:sz w:val="24"/>
          <w:szCs w:val="24"/>
        </w:rPr>
        <w:footnoteReference w:id="52"/>
      </w:r>
      <w:r w:rsidR="00237CA2" w:rsidRPr="00247141">
        <w:rPr>
          <w:rFonts w:ascii="Times New Roman" w:hAnsi="Times New Roman" w:cs="Times New Roman"/>
          <w:sz w:val="24"/>
          <w:szCs w:val="24"/>
        </w:rPr>
        <w:t xml:space="preserve"> AYM ve HSYK’nın yapısında önemli değişiklikler öngören bu değişikliklere</w:t>
      </w:r>
      <w:r w:rsidR="0019308B" w:rsidRPr="00247141">
        <w:rPr>
          <w:rStyle w:val="FootnoteReference"/>
          <w:rFonts w:ascii="Times New Roman" w:hAnsi="Times New Roman" w:cs="Times New Roman"/>
          <w:sz w:val="24"/>
          <w:szCs w:val="24"/>
        </w:rPr>
        <w:footnoteReference w:id="53"/>
      </w:r>
      <w:r w:rsidR="00237CA2" w:rsidRPr="00247141">
        <w:rPr>
          <w:rFonts w:ascii="Times New Roman" w:hAnsi="Times New Roman" w:cs="Times New Roman"/>
          <w:sz w:val="24"/>
          <w:szCs w:val="24"/>
        </w:rPr>
        <w:t xml:space="preserve">  ilişkin açılan iptal davasında </w:t>
      </w:r>
      <w:r w:rsidR="00245914" w:rsidRPr="00247141">
        <w:rPr>
          <w:rFonts w:ascii="Times New Roman" w:hAnsi="Times New Roman" w:cs="Times New Roman"/>
          <w:sz w:val="24"/>
          <w:szCs w:val="24"/>
        </w:rPr>
        <w:t>Mahkeme</w:t>
      </w:r>
      <w:r w:rsidR="00237CA2" w:rsidRPr="00247141">
        <w:rPr>
          <w:rFonts w:ascii="Times New Roman" w:hAnsi="Times New Roman" w:cs="Times New Roman"/>
          <w:sz w:val="24"/>
          <w:szCs w:val="24"/>
        </w:rPr>
        <w:t xml:space="preserve">, bu hükümlerin hukuk devleti ve kuvvetler ayrılığı ilkelerini anlamsızlaştıran ya da ortadan kaldıran değişiklikler olmadığı kanaatine ulaşmış, </w:t>
      </w:r>
      <w:r w:rsidR="00994742" w:rsidRPr="00247141">
        <w:rPr>
          <w:rFonts w:ascii="Times New Roman" w:hAnsi="Times New Roman" w:cs="Times New Roman"/>
          <w:sz w:val="24"/>
          <w:szCs w:val="24"/>
        </w:rPr>
        <w:lastRenderedPageBreak/>
        <w:t xml:space="preserve">anayasaya aykırılık tespitini </w:t>
      </w:r>
      <w:r w:rsidR="00237CA2" w:rsidRPr="00247141">
        <w:rPr>
          <w:rFonts w:ascii="Times New Roman" w:hAnsi="Times New Roman" w:cs="Times New Roman"/>
          <w:sz w:val="24"/>
          <w:szCs w:val="24"/>
        </w:rPr>
        <w:t xml:space="preserve">sadece HSYK üyeliği için her üyenin ancak </w:t>
      </w:r>
      <w:r w:rsidR="00994742" w:rsidRPr="00247141">
        <w:rPr>
          <w:rFonts w:ascii="Times New Roman" w:hAnsi="Times New Roman" w:cs="Times New Roman"/>
          <w:sz w:val="24"/>
          <w:szCs w:val="24"/>
        </w:rPr>
        <w:t>„</w:t>
      </w:r>
      <w:r w:rsidR="00237CA2" w:rsidRPr="00247141">
        <w:rPr>
          <w:rFonts w:ascii="Times New Roman" w:hAnsi="Times New Roman" w:cs="Times New Roman"/>
          <w:sz w:val="24"/>
          <w:szCs w:val="24"/>
        </w:rPr>
        <w:t>bir aday için” oy kullanabilmesi</w:t>
      </w:r>
      <w:r w:rsidR="00994742" w:rsidRPr="00247141">
        <w:rPr>
          <w:rFonts w:ascii="Times New Roman" w:hAnsi="Times New Roman" w:cs="Times New Roman"/>
          <w:sz w:val="24"/>
          <w:szCs w:val="24"/>
        </w:rPr>
        <w:t xml:space="preserve"> gerektiğine ilişkin teknik bir hususla sınırlı tutmuştur. </w:t>
      </w:r>
      <w:r w:rsidR="003C427A" w:rsidRPr="00247141">
        <w:rPr>
          <w:rStyle w:val="FootnoteReference"/>
          <w:rFonts w:ascii="Times New Roman" w:hAnsi="Times New Roman" w:cs="Times New Roman"/>
          <w:sz w:val="24"/>
          <w:szCs w:val="24"/>
        </w:rPr>
        <w:footnoteReference w:id="54"/>
      </w:r>
    </w:p>
    <w:p w14:paraId="2F7BA5CC" w14:textId="0795D31D" w:rsidR="00FF24A6" w:rsidRPr="00247141" w:rsidRDefault="00994742" w:rsidP="00237CA2">
      <w:pPr>
        <w:jc w:val="both"/>
        <w:rPr>
          <w:rFonts w:ascii="Times New Roman" w:hAnsi="Times New Roman" w:cs="Times New Roman"/>
          <w:sz w:val="24"/>
          <w:szCs w:val="24"/>
        </w:rPr>
      </w:pPr>
      <w:r w:rsidRPr="00247141">
        <w:rPr>
          <w:rFonts w:ascii="Times New Roman" w:hAnsi="Times New Roman" w:cs="Times New Roman"/>
          <w:sz w:val="24"/>
          <w:szCs w:val="24"/>
        </w:rPr>
        <w:t>Mahkeme’nin hukuk devleti</w:t>
      </w:r>
      <w:r w:rsidR="001447A3" w:rsidRPr="00247141">
        <w:rPr>
          <w:rFonts w:ascii="Times New Roman" w:hAnsi="Times New Roman" w:cs="Times New Roman"/>
          <w:sz w:val="24"/>
          <w:szCs w:val="24"/>
        </w:rPr>
        <w:t xml:space="preserve"> ilkesine</w:t>
      </w:r>
      <w:r w:rsidRPr="00247141">
        <w:rPr>
          <w:rFonts w:ascii="Times New Roman" w:hAnsi="Times New Roman" w:cs="Times New Roman"/>
          <w:sz w:val="24"/>
          <w:szCs w:val="24"/>
        </w:rPr>
        <w:t xml:space="preserve"> ilişkin başarısız olduğu bir diğer önemli sınavı ise 2016 senesinde tüm ülkede ilan edilen olağanüstü halin ardından çıkarılan olağanüstü hal kanun hükmünde kararnamelerinin anayasaya uygunluk denetimidir. Mahkeme, 1991  senesinde ortaya koyduğu yerleşik içtihadından saparak,“olağanüstü hal kanun hükmünde kararnamelerinin iptali” istemiyle Anayasa Mahkemesi önünde dava açılmasının mümkün olmadığını belirtmiştir. Buna gerekçe olarak ise Anayasa Mahkemesi, Anayasa’nın 148. maddesinin lafzının açık olduğunu </w:t>
      </w:r>
      <w:r w:rsidR="009E7B09" w:rsidRPr="00247141">
        <w:rPr>
          <w:rFonts w:ascii="Times New Roman" w:hAnsi="Times New Roman" w:cs="Times New Roman"/>
          <w:sz w:val="24"/>
          <w:szCs w:val="24"/>
        </w:rPr>
        <w:t xml:space="preserve">ve </w:t>
      </w:r>
      <w:r w:rsidRPr="00247141">
        <w:rPr>
          <w:rFonts w:ascii="Times New Roman" w:hAnsi="Times New Roman" w:cs="Times New Roman"/>
          <w:sz w:val="24"/>
          <w:szCs w:val="24"/>
        </w:rPr>
        <w:t xml:space="preserve"> 1982 Anayasası’nın yapım sürecindeki görüşmelerde de bu kararnameler için sadece TBMM tarafından yapılacak bir siyasi denetimin öngörüldüğünü göstererek; açılan iptal davalarını görev alanı dışında bularak geri çevirmiştir.</w:t>
      </w:r>
      <w:r w:rsidRPr="00247141">
        <w:rPr>
          <w:rStyle w:val="FootnoteReference"/>
          <w:rFonts w:ascii="Times New Roman" w:hAnsi="Times New Roman" w:cs="Times New Roman"/>
          <w:sz w:val="24"/>
          <w:szCs w:val="24"/>
        </w:rPr>
        <w:footnoteReference w:id="55"/>
      </w:r>
      <w:r w:rsidRPr="00247141">
        <w:rPr>
          <w:rFonts w:ascii="Times New Roman" w:hAnsi="Times New Roman" w:cs="Times New Roman"/>
          <w:sz w:val="24"/>
          <w:szCs w:val="24"/>
        </w:rPr>
        <w:t xml:space="preserve">  </w:t>
      </w:r>
      <w:r w:rsidR="00EF5925" w:rsidRPr="00247141">
        <w:rPr>
          <w:rFonts w:ascii="Times New Roman" w:hAnsi="Times New Roman" w:cs="Times New Roman"/>
          <w:sz w:val="24"/>
          <w:szCs w:val="24"/>
        </w:rPr>
        <w:t>Oysa</w:t>
      </w:r>
      <w:r w:rsidR="00FF24A6" w:rsidRPr="00247141">
        <w:rPr>
          <w:rFonts w:ascii="Times New Roman" w:hAnsi="Times New Roman" w:cs="Times New Roman"/>
          <w:sz w:val="24"/>
          <w:szCs w:val="24"/>
        </w:rPr>
        <w:t>ki</w:t>
      </w:r>
      <w:r w:rsidR="00287032" w:rsidRPr="00247141">
        <w:rPr>
          <w:rFonts w:ascii="Times New Roman" w:hAnsi="Times New Roman" w:cs="Times New Roman"/>
          <w:sz w:val="24"/>
          <w:szCs w:val="24"/>
        </w:rPr>
        <w:t xml:space="preserve"> 1991 senesinde Anayasa Mahkemesi, olağanüstü hal kararnameleri ile ilgili </w:t>
      </w:r>
      <w:r w:rsidR="00C368AE" w:rsidRPr="00247141">
        <w:rPr>
          <w:rFonts w:ascii="Times New Roman" w:hAnsi="Times New Roman" w:cs="Times New Roman"/>
          <w:sz w:val="24"/>
          <w:szCs w:val="24"/>
        </w:rPr>
        <w:t>davalarda önüne gelen metnin adı ile bağlı olmayacağını ve</w:t>
      </w:r>
      <w:r w:rsidR="00287032" w:rsidRPr="00247141">
        <w:rPr>
          <w:rFonts w:ascii="Times New Roman" w:hAnsi="Times New Roman" w:cs="Times New Roman"/>
          <w:sz w:val="24"/>
          <w:szCs w:val="24"/>
        </w:rPr>
        <w:t xml:space="preserve"> </w:t>
      </w:r>
      <w:r w:rsidR="00C368AE" w:rsidRPr="00247141">
        <w:rPr>
          <w:rFonts w:ascii="Times New Roman" w:hAnsi="Times New Roman" w:cs="Times New Roman"/>
          <w:sz w:val="24"/>
          <w:szCs w:val="24"/>
        </w:rPr>
        <w:t xml:space="preserve"> </w:t>
      </w:r>
      <w:r w:rsidR="00287032" w:rsidRPr="00247141">
        <w:rPr>
          <w:rFonts w:ascii="Times New Roman" w:hAnsi="Times New Roman" w:cs="Times New Roman"/>
          <w:sz w:val="24"/>
          <w:szCs w:val="24"/>
        </w:rPr>
        <w:t>olağanüstü halin konusu, süresi ve yeri ile ilgisi olmayan olağanüstü hal kanun hükmünde kararnamelerinin, olağan dönem kanun hükmünde kararnameleri gibi denetlenece</w:t>
      </w:r>
      <w:r w:rsidR="00C368AE" w:rsidRPr="00247141">
        <w:rPr>
          <w:rFonts w:ascii="Times New Roman" w:hAnsi="Times New Roman" w:cs="Times New Roman"/>
          <w:sz w:val="24"/>
          <w:szCs w:val="24"/>
        </w:rPr>
        <w:t>ğini</w:t>
      </w:r>
      <w:r w:rsidR="00287032" w:rsidRPr="00247141">
        <w:rPr>
          <w:rFonts w:ascii="Times New Roman" w:hAnsi="Times New Roman" w:cs="Times New Roman"/>
          <w:sz w:val="24"/>
          <w:szCs w:val="24"/>
        </w:rPr>
        <w:t xml:space="preserve"> ve bu kararnameler</w:t>
      </w:r>
      <w:r w:rsidR="00C368AE" w:rsidRPr="00247141">
        <w:rPr>
          <w:rFonts w:ascii="Times New Roman" w:hAnsi="Times New Roman" w:cs="Times New Roman"/>
          <w:sz w:val="24"/>
          <w:szCs w:val="24"/>
        </w:rPr>
        <w:t>in de</w:t>
      </w:r>
      <w:r w:rsidR="00287032" w:rsidRPr="00247141">
        <w:rPr>
          <w:rFonts w:ascii="Times New Roman" w:hAnsi="Times New Roman" w:cs="Times New Roman"/>
          <w:sz w:val="24"/>
          <w:szCs w:val="24"/>
        </w:rPr>
        <w:t xml:space="preserve"> yetki kanuna dayanmaksızın çıkarıldığı için iptal edilece</w:t>
      </w:r>
      <w:r w:rsidR="00C368AE" w:rsidRPr="00247141">
        <w:rPr>
          <w:rFonts w:ascii="Times New Roman" w:hAnsi="Times New Roman" w:cs="Times New Roman"/>
          <w:sz w:val="24"/>
          <w:szCs w:val="24"/>
        </w:rPr>
        <w:t>ğini belirterek sınırlı da olsa bir denetim anlayışı geliştirmişti</w:t>
      </w:r>
      <w:r w:rsidR="00287032" w:rsidRPr="00247141">
        <w:rPr>
          <w:rFonts w:ascii="Times New Roman" w:hAnsi="Times New Roman" w:cs="Times New Roman"/>
          <w:sz w:val="24"/>
          <w:szCs w:val="24"/>
        </w:rPr>
        <w:t>.</w:t>
      </w:r>
      <w:r w:rsidR="00C368AE" w:rsidRPr="00247141">
        <w:rPr>
          <w:rStyle w:val="FootnoteReference"/>
          <w:rFonts w:ascii="Times New Roman" w:hAnsi="Times New Roman" w:cs="Times New Roman"/>
          <w:sz w:val="24"/>
          <w:szCs w:val="24"/>
        </w:rPr>
        <w:footnoteReference w:id="56"/>
      </w:r>
      <w:r w:rsidR="00DF41F2" w:rsidRPr="00247141">
        <w:rPr>
          <w:rFonts w:ascii="Times New Roman" w:hAnsi="Times New Roman" w:cs="Times New Roman"/>
          <w:sz w:val="24"/>
          <w:szCs w:val="24"/>
        </w:rPr>
        <w:t xml:space="preserve"> Diğer bir ifadeyle, Mahkeme</w:t>
      </w:r>
      <w:r w:rsidR="00287032" w:rsidRPr="00247141">
        <w:rPr>
          <w:rFonts w:ascii="Times New Roman" w:hAnsi="Times New Roman" w:cs="Times New Roman"/>
          <w:sz w:val="24"/>
          <w:szCs w:val="24"/>
        </w:rPr>
        <w:t xml:space="preserve"> önüne olağanüstü hal kanun hükmünde kararnamesinin iptaline ilişkin bir dava geldiğinde, öncelikle bu kararnamenin “gerçekten bir olağanüstü hal kararnamesi” olup olmadığını denetlemek</w:t>
      </w:r>
      <w:r w:rsidR="00811AE4" w:rsidRPr="00247141">
        <w:rPr>
          <w:rFonts w:ascii="Times New Roman" w:hAnsi="Times New Roman" w:cs="Times New Roman"/>
          <w:sz w:val="24"/>
          <w:szCs w:val="24"/>
        </w:rPr>
        <w:t>t</w:t>
      </w:r>
      <w:r w:rsidR="00287032" w:rsidRPr="00247141">
        <w:rPr>
          <w:rFonts w:ascii="Times New Roman" w:hAnsi="Times New Roman" w:cs="Times New Roman"/>
          <w:sz w:val="24"/>
          <w:szCs w:val="24"/>
        </w:rPr>
        <w:t xml:space="preserve">e; şayet kararname gerçekten olağanüstü halin konusu, süresi ve zamanı ile uyumlu düzenlemeler içeriyor ise esasa girmeyerek iptal istemini reddetmekte; </w:t>
      </w:r>
      <w:r w:rsidR="00811AE4" w:rsidRPr="00247141">
        <w:rPr>
          <w:rFonts w:ascii="Times New Roman" w:hAnsi="Times New Roman" w:cs="Times New Roman"/>
          <w:sz w:val="24"/>
          <w:szCs w:val="24"/>
        </w:rPr>
        <w:t xml:space="preserve">eğer süre ve zaman açısından </w:t>
      </w:r>
      <w:r w:rsidR="00287032" w:rsidRPr="00247141">
        <w:rPr>
          <w:rFonts w:ascii="Times New Roman" w:hAnsi="Times New Roman" w:cs="Times New Roman"/>
          <w:sz w:val="24"/>
          <w:szCs w:val="24"/>
        </w:rPr>
        <w:t xml:space="preserve">uyumlu değil ise </w:t>
      </w:r>
      <w:r w:rsidR="00811AE4" w:rsidRPr="00247141">
        <w:rPr>
          <w:rFonts w:ascii="Times New Roman" w:hAnsi="Times New Roman" w:cs="Times New Roman"/>
          <w:sz w:val="24"/>
          <w:szCs w:val="24"/>
        </w:rPr>
        <w:t xml:space="preserve">de </w:t>
      </w:r>
      <w:r w:rsidR="00287032" w:rsidRPr="00247141">
        <w:rPr>
          <w:rFonts w:ascii="Times New Roman" w:hAnsi="Times New Roman" w:cs="Times New Roman"/>
          <w:sz w:val="24"/>
          <w:szCs w:val="24"/>
        </w:rPr>
        <w:t>o kararnameyi iptal etmekteydi. Mahkeme böylece olağanüstü hal döneminde bile hukuk devletinin temel ilkeleriyle çelişmeyen bir içtihat geliştirmiş idi.</w:t>
      </w:r>
      <w:r w:rsidR="00811AE4" w:rsidRPr="00247141">
        <w:rPr>
          <w:rStyle w:val="FootnoteReference"/>
          <w:rFonts w:ascii="Times New Roman" w:hAnsi="Times New Roman" w:cs="Times New Roman"/>
          <w:sz w:val="24"/>
          <w:szCs w:val="24"/>
        </w:rPr>
        <w:footnoteReference w:id="57"/>
      </w:r>
      <w:r w:rsidR="009F2ECD" w:rsidRPr="00247141">
        <w:rPr>
          <w:rFonts w:ascii="Times New Roman" w:hAnsi="Times New Roman" w:cs="Times New Roman"/>
          <w:sz w:val="24"/>
          <w:szCs w:val="24"/>
        </w:rPr>
        <w:t xml:space="preserve"> AYM </w:t>
      </w:r>
      <w:r w:rsidR="009E7B09" w:rsidRPr="00247141">
        <w:rPr>
          <w:rFonts w:ascii="Times New Roman" w:hAnsi="Times New Roman" w:cs="Times New Roman"/>
          <w:sz w:val="24"/>
          <w:szCs w:val="24"/>
        </w:rPr>
        <w:t>yeni içtihadı</w:t>
      </w:r>
      <w:r w:rsidR="00DF41F2" w:rsidRPr="00247141">
        <w:rPr>
          <w:rFonts w:ascii="Times New Roman" w:hAnsi="Times New Roman" w:cs="Times New Roman"/>
          <w:sz w:val="24"/>
          <w:szCs w:val="24"/>
        </w:rPr>
        <w:t>nda</w:t>
      </w:r>
      <w:r w:rsidR="009F2ECD" w:rsidRPr="00247141">
        <w:rPr>
          <w:rFonts w:ascii="Times New Roman" w:hAnsi="Times New Roman" w:cs="Times New Roman"/>
          <w:sz w:val="24"/>
          <w:szCs w:val="24"/>
        </w:rPr>
        <w:t xml:space="preserve"> </w:t>
      </w:r>
      <w:r w:rsidR="001447A3" w:rsidRPr="00247141">
        <w:rPr>
          <w:rFonts w:ascii="Times New Roman" w:hAnsi="Times New Roman" w:cs="Times New Roman"/>
          <w:sz w:val="24"/>
          <w:szCs w:val="24"/>
        </w:rPr>
        <w:t xml:space="preserve">ise </w:t>
      </w:r>
      <w:r w:rsidR="009F2ECD" w:rsidRPr="00247141">
        <w:rPr>
          <w:rFonts w:ascii="Times New Roman" w:hAnsi="Times New Roman" w:cs="Times New Roman"/>
          <w:sz w:val="24"/>
          <w:szCs w:val="24"/>
        </w:rPr>
        <w:t>tamamen lafzi</w:t>
      </w:r>
      <w:r w:rsidR="00811AE4" w:rsidRPr="00247141">
        <w:rPr>
          <w:rFonts w:ascii="Times New Roman" w:hAnsi="Times New Roman" w:cs="Times New Roman"/>
          <w:sz w:val="24"/>
          <w:szCs w:val="24"/>
        </w:rPr>
        <w:t xml:space="preserve"> ve tarihsel</w:t>
      </w:r>
      <w:r w:rsidR="009F2ECD" w:rsidRPr="00247141">
        <w:rPr>
          <w:rFonts w:ascii="Times New Roman" w:hAnsi="Times New Roman" w:cs="Times New Roman"/>
          <w:sz w:val="24"/>
          <w:szCs w:val="24"/>
        </w:rPr>
        <w:t xml:space="preserve"> bir yorumla olağanüstü hal KHK</w:t>
      </w:r>
      <w:r w:rsidR="00811AE4" w:rsidRPr="00247141">
        <w:rPr>
          <w:rFonts w:ascii="Times New Roman" w:hAnsi="Times New Roman" w:cs="Times New Roman"/>
          <w:sz w:val="24"/>
          <w:szCs w:val="24"/>
        </w:rPr>
        <w:t xml:space="preserve">’leri için sadece TBMM’nin siyasi denetiminin söz konusu olduğunu </w:t>
      </w:r>
      <w:r w:rsidR="00903AE0" w:rsidRPr="00247141">
        <w:rPr>
          <w:rFonts w:ascii="Times New Roman" w:hAnsi="Times New Roman" w:cs="Times New Roman"/>
          <w:sz w:val="24"/>
          <w:szCs w:val="24"/>
        </w:rPr>
        <w:t xml:space="preserve"> belirtmiş ve sınırlı denetimden mutlak denetimsizliğe yol açmıştır.</w:t>
      </w:r>
      <w:r w:rsidR="00903AE0" w:rsidRPr="00247141">
        <w:rPr>
          <w:rStyle w:val="FootnoteReference"/>
          <w:rFonts w:ascii="Times New Roman" w:hAnsi="Times New Roman" w:cs="Times New Roman"/>
          <w:sz w:val="24"/>
          <w:szCs w:val="24"/>
        </w:rPr>
        <w:footnoteReference w:id="58"/>
      </w:r>
      <w:r w:rsidR="00DB69A0" w:rsidRPr="00247141">
        <w:rPr>
          <w:rFonts w:ascii="Times New Roman" w:hAnsi="Times New Roman" w:cs="Times New Roman"/>
          <w:sz w:val="24"/>
          <w:szCs w:val="24"/>
        </w:rPr>
        <w:t xml:space="preserve"> </w:t>
      </w:r>
    </w:p>
    <w:p w14:paraId="5EDE362A" w14:textId="499ADC01" w:rsidR="001134D9" w:rsidRPr="00247141" w:rsidRDefault="00994742" w:rsidP="00237CA2">
      <w:pPr>
        <w:jc w:val="both"/>
        <w:rPr>
          <w:rFonts w:ascii="Times New Roman" w:hAnsi="Times New Roman" w:cs="Times New Roman"/>
          <w:sz w:val="24"/>
          <w:szCs w:val="24"/>
          <w:lang w:val="tr-TR"/>
        </w:rPr>
      </w:pPr>
      <w:r w:rsidRPr="00247141">
        <w:rPr>
          <w:rFonts w:ascii="Times New Roman" w:hAnsi="Times New Roman" w:cs="Times New Roman"/>
          <w:sz w:val="24"/>
          <w:szCs w:val="24"/>
        </w:rPr>
        <w:t>Anayasa Mahkemesi’nin bu tutumu olağanüstü hal</w:t>
      </w:r>
      <w:r w:rsidR="001134D9" w:rsidRPr="00247141">
        <w:rPr>
          <w:rFonts w:ascii="Times New Roman" w:hAnsi="Times New Roman" w:cs="Times New Roman"/>
          <w:sz w:val="24"/>
          <w:szCs w:val="24"/>
        </w:rPr>
        <w:t xml:space="preserve">in </w:t>
      </w:r>
      <w:r w:rsidRPr="00247141">
        <w:rPr>
          <w:rFonts w:ascii="Times New Roman" w:hAnsi="Times New Roman" w:cs="Times New Roman"/>
          <w:sz w:val="24"/>
          <w:szCs w:val="24"/>
        </w:rPr>
        <w:t>konu</w:t>
      </w:r>
      <w:r w:rsidR="001134D9" w:rsidRPr="00247141">
        <w:rPr>
          <w:rFonts w:ascii="Times New Roman" w:hAnsi="Times New Roman" w:cs="Times New Roman"/>
          <w:sz w:val="24"/>
          <w:szCs w:val="24"/>
        </w:rPr>
        <w:t>su</w:t>
      </w:r>
      <w:r w:rsidRPr="00247141">
        <w:rPr>
          <w:rFonts w:ascii="Times New Roman" w:hAnsi="Times New Roman" w:cs="Times New Roman"/>
          <w:sz w:val="24"/>
          <w:szCs w:val="24"/>
        </w:rPr>
        <w:t xml:space="preserve"> ve </w:t>
      </w:r>
      <w:r w:rsidR="001134D9" w:rsidRPr="00247141">
        <w:rPr>
          <w:rFonts w:ascii="Times New Roman" w:hAnsi="Times New Roman" w:cs="Times New Roman"/>
          <w:sz w:val="24"/>
          <w:szCs w:val="24"/>
        </w:rPr>
        <w:t xml:space="preserve"> süresi ile bağdaşmayan çok sayıda</w:t>
      </w:r>
      <w:r w:rsidR="001447A3" w:rsidRPr="00247141">
        <w:rPr>
          <w:rFonts w:ascii="Times New Roman" w:hAnsi="Times New Roman" w:cs="Times New Roman"/>
          <w:sz w:val="24"/>
          <w:szCs w:val="24"/>
        </w:rPr>
        <w:t xml:space="preserve"> olağanüstü</w:t>
      </w:r>
      <w:r w:rsidR="001134D9" w:rsidRPr="00247141">
        <w:rPr>
          <w:rFonts w:ascii="Times New Roman" w:hAnsi="Times New Roman" w:cs="Times New Roman"/>
          <w:sz w:val="24"/>
          <w:szCs w:val="24"/>
        </w:rPr>
        <w:t xml:space="preserve"> KHK’</w:t>
      </w:r>
      <w:r w:rsidR="001447A3" w:rsidRPr="00247141">
        <w:rPr>
          <w:rFonts w:ascii="Times New Roman" w:hAnsi="Times New Roman" w:cs="Times New Roman"/>
          <w:sz w:val="24"/>
          <w:szCs w:val="24"/>
        </w:rPr>
        <w:t>sinin</w:t>
      </w:r>
      <w:r w:rsidR="001134D9" w:rsidRPr="00247141">
        <w:rPr>
          <w:rFonts w:ascii="Times New Roman" w:hAnsi="Times New Roman" w:cs="Times New Roman"/>
          <w:sz w:val="24"/>
          <w:szCs w:val="24"/>
        </w:rPr>
        <w:t xml:space="preserve"> anayasaya aykırı biçimde çıkarılmasına cevaz vermiştir.</w:t>
      </w:r>
      <w:r w:rsidR="00DB69A0" w:rsidRPr="00247141">
        <w:rPr>
          <w:rFonts w:ascii="Times New Roman" w:hAnsi="Times New Roman" w:cs="Times New Roman"/>
          <w:sz w:val="24"/>
          <w:szCs w:val="24"/>
        </w:rPr>
        <w:t xml:space="preserve"> Bu noktada</w:t>
      </w:r>
      <w:r w:rsidR="008E2194" w:rsidRPr="00247141">
        <w:rPr>
          <w:rFonts w:ascii="Times New Roman" w:hAnsi="Times New Roman" w:cs="Times New Roman"/>
          <w:sz w:val="24"/>
          <w:szCs w:val="24"/>
        </w:rPr>
        <w:t xml:space="preserve"> özelikle OHAL KHK’lerinin mutl</w:t>
      </w:r>
      <w:r w:rsidR="009E7B09" w:rsidRPr="00247141">
        <w:rPr>
          <w:rFonts w:ascii="Times New Roman" w:hAnsi="Times New Roman" w:cs="Times New Roman"/>
          <w:sz w:val="24"/>
          <w:szCs w:val="24"/>
        </w:rPr>
        <w:t>a</w:t>
      </w:r>
      <w:r w:rsidR="008E2194" w:rsidRPr="00247141">
        <w:rPr>
          <w:rFonts w:ascii="Times New Roman" w:hAnsi="Times New Roman" w:cs="Times New Roman"/>
          <w:sz w:val="24"/>
          <w:szCs w:val="24"/>
        </w:rPr>
        <w:t>k biçimde denetimsiz kaldığına ilişkin görüş</w:t>
      </w:r>
      <w:r w:rsidR="008C2E81" w:rsidRPr="00247141">
        <w:rPr>
          <w:rFonts w:ascii="Times New Roman" w:hAnsi="Times New Roman" w:cs="Times New Roman"/>
          <w:sz w:val="24"/>
          <w:szCs w:val="24"/>
        </w:rPr>
        <w:t xml:space="preserve"> belki</w:t>
      </w:r>
      <w:r w:rsidR="008E2194" w:rsidRPr="00247141">
        <w:rPr>
          <w:rFonts w:ascii="Times New Roman" w:hAnsi="Times New Roman" w:cs="Times New Roman"/>
          <w:sz w:val="24"/>
          <w:szCs w:val="24"/>
        </w:rPr>
        <w:t xml:space="preserve"> şu açıdan eleştirilebilir: Anayasa</w:t>
      </w:r>
      <w:r w:rsidR="007101CA" w:rsidRPr="00247141">
        <w:rPr>
          <w:rFonts w:ascii="Times New Roman" w:hAnsi="Times New Roman" w:cs="Times New Roman"/>
          <w:sz w:val="24"/>
          <w:szCs w:val="24"/>
        </w:rPr>
        <w:t>’</w:t>
      </w:r>
      <w:r w:rsidR="008E2194" w:rsidRPr="00247141">
        <w:rPr>
          <w:rFonts w:ascii="Times New Roman" w:hAnsi="Times New Roman" w:cs="Times New Roman"/>
          <w:sz w:val="24"/>
          <w:szCs w:val="24"/>
        </w:rPr>
        <w:t>nın</w:t>
      </w:r>
      <w:r w:rsidR="007101CA" w:rsidRPr="00247141">
        <w:rPr>
          <w:rFonts w:ascii="Times New Roman" w:hAnsi="Times New Roman" w:cs="Times New Roman"/>
          <w:sz w:val="24"/>
          <w:szCs w:val="24"/>
        </w:rPr>
        <w:t xml:space="preserve"> 119. </w:t>
      </w:r>
      <w:r w:rsidR="00C17237" w:rsidRPr="00247141">
        <w:rPr>
          <w:rFonts w:ascii="Times New Roman" w:hAnsi="Times New Roman" w:cs="Times New Roman"/>
          <w:sz w:val="24"/>
          <w:szCs w:val="24"/>
        </w:rPr>
        <w:t>m</w:t>
      </w:r>
      <w:r w:rsidR="007101CA" w:rsidRPr="00247141">
        <w:rPr>
          <w:rFonts w:ascii="Times New Roman" w:hAnsi="Times New Roman" w:cs="Times New Roman"/>
          <w:sz w:val="24"/>
          <w:szCs w:val="24"/>
        </w:rPr>
        <w:t>addes</w:t>
      </w:r>
      <w:r w:rsidR="00C17237" w:rsidRPr="00247141">
        <w:rPr>
          <w:rFonts w:ascii="Times New Roman" w:hAnsi="Times New Roman" w:cs="Times New Roman"/>
          <w:sz w:val="24"/>
          <w:szCs w:val="24"/>
        </w:rPr>
        <w:t xml:space="preserve">i gereğince </w:t>
      </w:r>
      <w:r w:rsidR="00A56067" w:rsidRPr="00247141">
        <w:rPr>
          <w:rFonts w:ascii="Times New Roman" w:hAnsi="Times New Roman" w:cs="Times New Roman"/>
          <w:sz w:val="24"/>
          <w:szCs w:val="24"/>
        </w:rPr>
        <w:t xml:space="preserve">çıkartılan olağanüstü hal KHK’leri </w:t>
      </w:r>
      <w:r w:rsidR="00522687" w:rsidRPr="00247141">
        <w:rPr>
          <w:rFonts w:ascii="Times New Roman" w:hAnsi="Times New Roman" w:cs="Times New Roman"/>
          <w:sz w:val="24"/>
          <w:szCs w:val="24"/>
        </w:rPr>
        <w:t>Meclis’in onayına sunulmakta</w:t>
      </w:r>
      <w:r w:rsidR="00DF41F2" w:rsidRPr="00247141">
        <w:rPr>
          <w:rFonts w:ascii="Times New Roman" w:hAnsi="Times New Roman" w:cs="Times New Roman"/>
          <w:sz w:val="24"/>
          <w:szCs w:val="24"/>
        </w:rPr>
        <w:t>dır</w:t>
      </w:r>
      <w:r w:rsidR="00522687" w:rsidRPr="00247141">
        <w:rPr>
          <w:rFonts w:ascii="Times New Roman" w:hAnsi="Times New Roman" w:cs="Times New Roman"/>
          <w:sz w:val="24"/>
          <w:szCs w:val="24"/>
        </w:rPr>
        <w:t xml:space="preserve"> ve TBMM bu onay aşamasında yapacağı siyasi denetimle OHAL K</w:t>
      </w:r>
      <w:r w:rsidR="00447DF8" w:rsidRPr="00247141">
        <w:rPr>
          <w:rFonts w:ascii="Times New Roman" w:hAnsi="Times New Roman" w:cs="Times New Roman"/>
          <w:sz w:val="24"/>
          <w:szCs w:val="24"/>
        </w:rPr>
        <w:t>HK</w:t>
      </w:r>
      <w:r w:rsidR="00522687" w:rsidRPr="00247141">
        <w:rPr>
          <w:rFonts w:ascii="Times New Roman" w:hAnsi="Times New Roman" w:cs="Times New Roman"/>
          <w:sz w:val="24"/>
          <w:szCs w:val="24"/>
        </w:rPr>
        <w:t>’leri yerindelik açısından olduğu gibi anayasallık açısından da denetleyebilecek ve eğer kanun ile bunları</w:t>
      </w:r>
      <w:r w:rsidR="00C31AA0" w:rsidRPr="00247141">
        <w:rPr>
          <w:rFonts w:ascii="Times New Roman" w:hAnsi="Times New Roman" w:cs="Times New Roman"/>
          <w:sz w:val="24"/>
          <w:szCs w:val="24"/>
        </w:rPr>
        <w:t xml:space="preserve"> onaylarsa bu KHK‘lar Anayasa Mahkemesi’nin denetimine açılabilecektir. Ancak AYM</w:t>
      </w:r>
      <w:r w:rsidR="00C92A21" w:rsidRPr="00247141">
        <w:rPr>
          <w:rFonts w:ascii="Times New Roman" w:hAnsi="Times New Roman" w:cs="Times New Roman"/>
          <w:sz w:val="24"/>
          <w:szCs w:val="24"/>
        </w:rPr>
        <w:t xml:space="preserve"> bu alanda da </w:t>
      </w:r>
      <w:r w:rsidR="00C31AA0" w:rsidRPr="00247141">
        <w:rPr>
          <w:rFonts w:ascii="Times New Roman" w:hAnsi="Times New Roman" w:cs="Times New Roman"/>
          <w:sz w:val="24"/>
          <w:szCs w:val="24"/>
        </w:rPr>
        <w:t xml:space="preserve"> 2016 sonrası </w:t>
      </w:r>
      <w:r w:rsidR="00C92A21" w:rsidRPr="00247141">
        <w:rPr>
          <w:rFonts w:ascii="Times New Roman" w:hAnsi="Times New Roman" w:cs="Times New Roman"/>
          <w:sz w:val="24"/>
          <w:szCs w:val="24"/>
        </w:rPr>
        <w:t xml:space="preserve"> ortaya koyduğu </w:t>
      </w:r>
      <w:r w:rsidR="00C31AA0" w:rsidRPr="00247141">
        <w:rPr>
          <w:rFonts w:ascii="Times New Roman" w:hAnsi="Times New Roman" w:cs="Times New Roman"/>
          <w:sz w:val="24"/>
          <w:szCs w:val="24"/>
        </w:rPr>
        <w:t>içtihadı</w:t>
      </w:r>
      <w:r w:rsidR="00C92A21" w:rsidRPr="00247141">
        <w:rPr>
          <w:rFonts w:ascii="Times New Roman" w:hAnsi="Times New Roman" w:cs="Times New Roman"/>
          <w:sz w:val="24"/>
          <w:szCs w:val="24"/>
          <w:vertAlign w:val="superscript"/>
          <w:lang w:val="tr-TR"/>
        </w:rPr>
        <w:footnoteReference w:id="59"/>
      </w:r>
      <w:r w:rsidR="00C31AA0" w:rsidRPr="00247141">
        <w:rPr>
          <w:rFonts w:ascii="Times New Roman" w:hAnsi="Times New Roman" w:cs="Times New Roman"/>
          <w:sz w:val="24"/>
          <w:szCs w:val="24"/>
        </w:rPr>
        <w:t xml:space="preserve"> ile </w:t>
      </w:r>
      <w:r w:rsidR="00A20535" w:rsidRPr="00247141">
        <w:rPr>
          <w:rFonts w:ascii="Times New Roman" w:hAnsi="Times New Roman" w:cs="Times New Roman"/>
          <w:sz w:val="24"/>
          <w:szCs w:val="24"/>
        </w:rPr>
        <w:t xml:space="preserve"> bu konuda da </w:t>
      </w:r>
      <w:r w:rsidR="007C42EA" w:rsidRPr="00247141">
        <w:rPr>
          <w:rFonts w:ascii="Times New Roman" w:hAnsi="Times New Roman" w:cs="Times New Roman"/>
          <w:sz w:val="24"/>
          <w:szCs w:val="24"/>
        </w:rPr>
        <w:t xml:space="preserve">olağanüstü hal kararnamelerinin hukuk devleti ile ilişkisi açısından oldukça sorunlu bir alana yol açmıştır. Mahkeme’ye göre </w:t>
      </w:r>
      <w:r w:rsidR="008D6357" w:rsidRPr="00247141">
        <w:rPr>
          <w:rFonts w:ascii="Times New Roman" w:hAnsi="Times New Roman" w:cs="Times New Roman"/>
          <w:sz w:val="24"/>
          <w:szCs w:val="24"/>
          <w:lang w:val="tr-TR"/>
        </w:rPr>
        <w:t xml:space="preserve">kanunlaşmış olağanüstü hal kararnamesinin olağanüstü halin konusu ile ilgisi olup olmadığına göre; eğer iptali istenen norm olağanüstü hali </w:t>
      </w:r>
      <w:r w:rsidR="008D6357" w:rsidRPr="00247141">
        <w:rPr>
          <w:rFonts w:ascii="Times New Roman" w:hAnsi="Times New Roman" w:cs="Times New Roman"/>
          <w:sz w:val="24"/>
          <w:szCs w:val="24"/>
          <w:lang w:val="tr-TR"/>
        </w:rPr>
        <w:lastRenderedPageBreak/>
        <w:t>doğuran tehlike ya da tehdit ile ilgili değilse bu maddelerin denetimi artık Anayasa’nın olağanüstü hal temel hak ve özgürlükler rejimini düzenleyen 15. maddesi değil, olağan dönemde temel hak ve özgürlüklerin sınırlanması rejimi içeren 13. maddesi kapsamında yapılmalıdır. Bu da Mahkeme’nin, kanunlaşan olağanüstü hâl kararnamesinin içeriğinin olağanüstü halin konusu, süresi yahut yerini aşmasını tek başına iptal sebebi görmemesine ve olağanüstü dönemi olağanlaştırarak, bu dönemi bir istisna hali olmaktan çıkarmasına yol açmıştır.</w:t>
      </w:r>
      <w:r w:rsidR="000756CF" w:rsidRPr="00247141">
        <w:rPr>
          <w:rFonts w:ascii="Times New Roman" w:hAnsi="Times New Roman" w:cs="Times New Roman"/>
          <w:sz w:val="24"/>
          <w:szCs w:val="24"/>
          <w:lang w:val="tr-TR"/>
        </w:rPr>
        <w:t xml:space="preserve"> </w:t>
      </w:r>
      <w:r w:rsidR="00140FEE" w:rsidRPr="00247141">
        <w:rPr>
          <w:rFonts w:ascii="Times New Roman" w:hAnsi="Times New Roman" w:cs="Times New Roman"/>
          <w:sz w:val="24"/>
          <w:szCs w:val="24"/>
          <w:lang w:val="tr-TR"/>
        </w:rPr>
        <w:t xml:space="preserve">Bunun dışındaki bir diğer sorun ise </w:t>
      </w:r>
      <w:r w:rsidR="00DF41F2" w:rsidRPr="00247141">
        <w:rPr>
          <w:rFonts w:ascii="Times New Roman" w:hAnsi="Times New Roman" w:cs="Times New Roman"/>
          <w:sz w:val="24"/>
          <w:szCs w:val="24"/>
          <w:lang w:val="tr-TR"/>
        </w:rPr>
        <w:t xml:space="preserve">Mahkeme’nin bu </w:t>
      </w:r>
      <w:r w:rsidR="008F525B" w:rsidRPr="00247141">
        <w:rPr>
          <w:rFonts w:ascii="Times New Roman" w:hAnsi="Times New Roman" w:cs="Times New Roman"/>
          <w:sz w:val="24"/>
          <w:szCs w:val="24"/>
          <w:lang w:val="tr-TR"/>
        </w:rPr>
        <w:t>yaklaşımının ardından TBMM tarafından onaylanan OHAL KHK’lerinin artık olağanüstü dönemin bir tedbiri olmaktan çıkıp; olağan bir yasama işlemi haline gelmesidir</w:t>
      </w:r>
      <w:r w:rsidR="008F525B" w:rsidRPr="00247141">
        <w:rPr>
          <w:rStyle w:val="FootnoteReference"/>
          <w:rFonts w:ascii="Times New Roman" w:hAnsi="Times New Roman" w:cs="Times New Roman"/>
          <w:sz w:val="24"/>
          <w:szCs w:val="24"/>
          <w:lang w:val="tr-TR"/>
        </w:rPr>
        <w:footnoteReference w:id="60"/>
      </w:r>
      <w:r w:rsidR="008F525B" w:rsidRPr="00247141">
        <w:rPr>
          <w:rFonts w:ascii="Times New Roman" w:hAnsi="Times New Roman" w:cs="Times New Roman"/>
          <w:sz w:val="24"/>
          <w:szCs w:val="24"/>
          <w:lang w:val="tr-TR"/>
        </w:rPr>
        <w:t xml:space="preserve"> ki</w:t>
      </w:r>
      <w:r w:rsidR="009C6390" w:rsidRPr="00247141">
        <w:rPr>
          <w:rFonts w:ascii="Times New Roman" w:hAnsi="Times New Roman" w:cs="Times New Roman"/>
          <w:sz w:val="24"/>
          <w:szCs w:val="24"/>
          <w:lang w:val="tr-TR"/>
        </w:rPr>
        <w:t>,</w:t>
      </w:r>
      <w:r w:rsidR="005452F8" w:rsidRPr="00247141">
        <w:rPr>
          <w:rFonts w:ascii="Times New Roman" w:hAnsi="Times New Roman" w:cs="Times New Roman"/>
          <w:sz w:val="24"/>
          <w:szCs w:val="24"/>
          <w:lang w:val="tr-TR"/>
        </w:rPr>
        <w:t xml:space="preserve"> bu durum da </w:t>
      </w:r>
      <w:r w:rsidR="004D3784" w:rsidRPr="00247141">
        <w:rPr>
          <w:rFonts w:ascii="Times New Roman" w:hAnsi="Times New Roman" w:cs="Times New Roman"/>
          <w:sz w:val="24"/>
          <w:szCs w:val="24"/>
          <w:lang w:val="tr-TR"/>
        </w:rPr>
        <w:t xml:space="preserve"> 2017 anayasa değişikliği</w:t>
      </w:r>
      <w:r w:rsidR="006B0F63" w:rsidRPr="00247141">
        <w:rPr>
          <w:rFonts w:ascii="Times New Roman" w:hAnsi="Times New Roman" w:cs="Times New Roman"/>
          <w:sz w:val="24"/>
          <w:szCs w:val="24"/>
          <w:lang w:val="tr-TR"/>
        </w:rPr>
        <w:t xml:space="preserve"> uyarınca </w:t>
      </w:r>
      <w:r w:rsidR="004D3784" w:rsidRPr="00247141">
        <w:rPr>
          <w:rFonts w:ascii="Times New Roman" w:hAnsi="Times New Roman" w:cs="Times New Roman"/>
          <w:sz w:val="24"/>
          <w:szCs w:val="24"/>
          <w:lang w:val="tr-TR"/>
        </w:rPr>
        <w:t>yürütmenin</w:t>
      </w:r>
      <w:r w:rsidR="006B0F63" w:rsidRPr="00247141">
        <w:rPr>
          <w:rFonts w:ascii="Times New Roman" w:hAnsi="Times New Roman" w:cs="Times New Roman"/>
          <w:sz w:val="24"/>
          <w:szCs w:val="24"/>
          <w:lang w:val="tr-TR"/>
        </w:rPr>
        <w:t xml:space="preserve"> hiçbir suretle yasa yapım faaliyetine dahil</w:t>
      </w:r>
      <w:r w:rsidR="00361586" w:rsidRPr="00247141">
        <w:rPr>
          <w:rFonts w:ascii="Times New Roman" w:hAnsi="Times New Roman" w:cs="Times New Roman"/>
          <w:sz w:val="24"/>
          <w:szCs w:val="24"/>
          <w:lang w:val="tr-TR"/>
        </w:rPr>
        <w:t xml:space="preserve"> olmaması gereken</w:t>
      </w:r>
      <w:r w:rsidR="004D3784" w:rsidRPr="00247141">
        <w:rPr>
          <w:rFonts w:ascii="Times New Roman" w:hAnsi="Times New Roman" w:cs="Times New Roman"/>
          <w:sz w:val="24"/>
          <w:szCs w:val="24"/>
          <w:lang w:val="tr-TR"/>
        </w:rPr>
        <w:t xml:space="preserve"> </w:t>
      </w:r>
      <w:r w:rsidR="005452F8" w:rsidRPr="00247141">
        <w:rPr>
          <w:rFonts w:ascii="Times New Roman" w:hAnsi="Times New Roman" w:cs="Times New Roman"/>
          <w:sz w:val="24"/>
          <w:szCs w:val="24"/>
          <w:lang w:val="tr-TR"/>
        </w:rPr>
        <w:t>olağan yasa</w:t>
      </w:r>
      <w:r w:rsidR="004D3784" w:rsidRPr="00247141">
        <w:rPr>
          <w:rFonts w:ascii="Times New Roman" w:hAnsi="Times New Roman" w:cs="Times New Roman"/>
          <w:sz w:val="24"/>
          <w:szCs w:val="24"/>
          <w:lang w:val="tr-TR"/>
        </w:rPr>
        <w:t>ma</w:t>
      </w:r>
      <w:r w:rsidR="00361586" w:rsidRPr="00247141">
        <w:rPr>
          <w:rFonts w:ascii="Times New Roman" w:hAnsi="Times New Roman" w:cs="Times New Roman"/>
          <w:sz w:val="24"/>
          <w:szCs w:val="24"/>
          <w:lang w:val="tr-TR"/>
        </w:rPr>
        <w:t xml:space="preserve"> süreci dışında ana aktörün yürütme olduğu </w:t>
      </w:r>
      <w:r w:rsidR="004D3784" w:rsidRPr="00247141">
        <w:rPr>
          <w:rFonts w:ascii="Times New Roman" w:hAnsi="Times New Roman" w:cs="Times New Roman"/>
          <w:sz w:val="24"/>
          <w:szCs w:val="24"/>
          <w:lang w:val="tr-TR"/>
        </w:rPr>
        <w:t xml:space="preserve"> </w:t>
      </w:r>
      <w:r w:rsidR="005452F8" w:rsidRPr="00247141">
        <w:rPr>
          <w:rFonts w:ascii="Times New Roman" w:hAnsi="Times New Roman" w:cs="Times New Roman"/>
          <w:sz w:val="24"/>
          <w:szCs w:val="24"/>
          <w:lang w:val="tr-TR"/>
        </w:rPr>
        <w:t>bir “olağanüstü yasa koyuculuğuna”</w:t>
      </w:r>
      <w:r w:rsidR="00361586" w:rsidRPr="00247141">
        <w:rPr>
          <w:rFonts w:ascii="Times New Roman" w:hAnsi="Times New Roman" w:cs="Times New Roman"/>
          <w:sz w:val="24"/>
          <w:szCs w:val="24"/>
          <w:lang w:val="tr-TR"/>
        </w:rPr>
        <w:t xml:space="preserve"> yol açmıştır.</w:t>
      </w:r>
      <w:r w:rsidR="00361586" w:rsidRPr="00247141">
        <w:rPr>
          <w:rStyle w:val="FootnoteReference"/>
          <w:rFonts w:ascii="Times New Roman" w:hAnsi="Times New Roman" w:cs="Times New Roman"/>
          <w:sz w:val="24"/>
          <w:szCs w:val="24"/>
          <w:lang w:val="tr-TR"/>
        </w:rPr>
        <w:footnoteReference w:id="61"/>
      </w:r>
      <w:r w:rsidR="00361586" w:rsidRPr="00247141">
        <w:rPr>
          <w:rFonts w:ascii="Times New Roman" w:hAnsi="Times New Roman" w:cs="Times New Roman"/>
          <w:sz w:val="24"/>
          <w:szCs w:val="24"/>
          <w:lang w:val="tr-TR"/>
        </w:rPr>
        <w:t xml:space="preserve"> Halbuki Mahkeme’nin yapması gereken TBMM tarafından onaylansa dahi olağanüstü halin konusu ve süresi ile il</w:t>
      </w:r>
      <w:r w:rsidR="00F22C83" w:rsidRPr="00247141">
        <w:rPr>
          <w:rFonts w:ascii="Times New Roman" w:hAnsi="Times New Roman" w:cs="Times New Roman"/>
          <w:sz w:val="24"/>
          <w:szCs w:val="24"/>
          <w:lang w:val="tr-TR"/>
        </w:rPr>
        <w:t>i</w:t>
      </w:r>
      <w:r w:rsidR="00361586" w:rsidRPr="00247141">
        <w:rPr>
          <w:rFonts w:ascii="Times New Roman" w:hAnsi="Times New Roman" w:cs="Times New Roman"/>
          <w:sz w:val="24"/>
          <w:szCs w:val="24"/>
          <w:lang w:val="tr-TR"/>
        </w:rPr>
        <w:t>şkili olmayan OHAL KHK’lerini işin esasına girmeden doğrudan şekil açısından iptal etmesiydi.</w:t>
      </w:r>
      <w:r w:rsidR="00361586" w:rsidRPr="00247141">
        <w:rPr>
          <w:rStyle w:val="FootnoteReference"/>
          <w:rFonts w:ascii="Times New Roman" w:hAnsi="Times New Roman" w:cs="Times New Roman"/>
          <w:sz w:val="24"/>
          <w:szCs w:val="24"/>
          <w:lang w:val="tr-TR"/>
        </w:rPr>
        <w:footnoteReference w:id="62"/>
      </w:r>
    </w:p>
    <w:p w14:paraId="3008C2FC" w14:textId="67D1AC79" w:rsidR="00354AED" w:rsidRPr="00247141" w:rsidRDefault="001134D9" w:rsidP="00354AED">
      <w:pPr>
        <w:jc w:val="both"/>
        <w:rPr>
          <w:rFonts w:ascii="Times New Roman" w:hAnsi="Times New Roman" w:cs="Times New Roman"/>
          <w:sz w:val="24"/>
          <w:szCs w:val="24"/>
          <w:lang w:val="tr-TR"/>
        </w:rPr>
      </w:pPr>
      <w:r w:rsidRPr="00247141">
        <w:rPr>
          <w:rFonts w:ascii="Times New Roman" w:hAnsi="Times New Roman" w:cs="Times New Roman"/>
          <w:sz w:val="24"/>
          <w:szCs w:val="24"/>
          <w:lang w:val="tr-TR"/>
        </w:rPr>
        <w:t>Anayasa Mahkemesi’nin hukuk devletinin aşınmasına ilişkin son kayda değer kararı ise kamuoyunda „çoklu baro</w:t>
      </w:r>
      <w:r w:rsidR="00F22C83" w:rsidRPr="00247141">
        <w:rPr>
          <w:rFonts w:ascii="Times New Roman" w:hAnsi="Times New Roman" w:cs="Times New Roman"/>
          <w:sz w:val="24"/>
          <w:szCs w:val="24"/>
          <w:lang w:val="tr-TR"/>
        </w:rPr>
        <w:t xml:space="preserve"> yasası</w:t>
      </w:r>
      <w:r w:rsidRPr="00247141">
        <w:rPr>
          <w:rFonts w:ascii="Times New Roman" w:hAnsi="Times New Roman" w:cs="Times New Roman"/>
          <w:sz w:val="24"/>
          <w:szCs w:val="24"/>
          <w:lang w:val="tr-TR"/>
        </w:rPr>
        <w:t>“ olarak bilinen ve  baroların yapısında yaptığı değişiklik ile savunma hak</w:t>
      </w:r>
      <w:r w:rsidR="00DF41F2" w:rsidRPr="00247141">
        <w:rPr>
          <w:rFonts w:ascii="Times New Roman" w:hAnsi="Times New Roman" w:cs="Times New Roman"/>
          <w:sz w:val="24"/>
          <w:szCs w:val="24"/>
          <w:lang w:val="tr-TR"/>
        </w:rPr>
        <w:t xml:space="preserve">kına ilişkin önemli bir kırılmaya </w:t>
      </w:r>
      <w:r w:rsidRPr="00247141">
        <w:rPr>
          <w:rFonts w:ascii="Times New Roman" w:hAnsi="Times New Roman" w:cs="Times New Roman"/>
          <w:sz w:val="24"/>
          <w:szCs w:val="24"/>
          <w:lang w:val="tr-TR"/>
        </w:rPr>
        <w:t xml:space="preserve">yol açan 7249 sayılı </w:t>
      </w:r>
      <w:r w:rsidR="003040AD" w:rsidRPr="00247141">
        <w:rPr>
          <w:rFonts w:ascii="Times New Roman" w:hAnsi="Times New Roman" w:cs="Times New Roman"/>
          <w:sz w:val="24"/>
          <w:szCs w:val="24"/>
          <w:lang w:val="tr-TR"/>
        </w:rPr>
        <w:t>K</w:t>
      </w:r>
      <w:r w:rsidRPr="00247141">
        <w:rPr>
          <w:rFonts w:ascii="Times New Roman" w:hAnsi="Times New Roman" w:cs="Times New Roman"/>
          <w:sz w:val="24"/>
          <w:szCs w:val="24"/>
          <w:lang w:val="tr-TR"/>
        </w:rPr>
        <w:t>anuna  ilişkindir.</w:t>
      </w:r>
      <w:r w:rsidRPr="00247141">
        <w:rPr>
          <w:rStyle w:val="FootnoteReference"/>
          <w:rFonts w:ascii="Times New Roman" w:hAnsi="Times New Roman" w:cs="Times New Roman"/>
          <w:sz w:val="24"/>
          <w:szCs w:val="24"/>
        </w:rPr>
        <w:footnoteReference w:id="63"/>
      </w:r>
      <w:r w:rsidRPr="00247141">
        <w:rPr>
          <w:rFonts w:ascii="Times New Roman" w:hAnsi="Times New Roman" w:cs="Times New Roman"/>
          <w:sz w:val="24"/>
          <w:szCs w:val="24"/>
          <w:lang w:val="tr-TR"/>
        </w:rPr>
        <w:t xml:space="preserve">  Bu kanuna ilişkin açılan iptal davasında Anayasa Mahkemesi, hukuk devleti açısından yapacağı denetimin sadece kanunun kamu yararı amacıyla yapılıp yapılmadığının araştırılmasıyla sınırlı bir incelemeden ibaret olduğunu ve bu kanunda da kamu yararının görülmediğinin söylenemeyeceğini ifade etmiş ve kanunu anayasaya aykırı bulmuştur. Özellikle gerekçe(sizlik) açısından oldukça tartışmalı bu karar</w:t>
      </w:r>
      <w:r w:rsidR="001E5ECB" w:rsidRPr="00247141">
        <w:rPr>
          <w:rFonts w:ascii="Times New Roman" w:hAnsi="Times New Roman" w:cs="Times New Roman"/>
          <w:sz w:val="24"/>
          <w:szCs w:val="24"/>
          <w:lang w:val="tr-TR"/>
        </w:rPr>
        <w:t>ın da detaylı biçimde incelenmesi gerektirilmektedir. 7249 Sayılı Kanun ile baroya  kayıtlı avukatların sayısı 5000’in üzerinde olan  illerde birden fazla baronun kurulabilmesi imkanı getirilmiş;</w:t>
      </w:r>
      <w:r w:rsidR="00581E29" w:rsidRPr="00247141">
        <w:rPr>
          <w:rFonts w:ascii="Times New Roman" w:hAnsi="Times New Roman" w:cs="Times New Roman"/>
          <w:sz w:val="24"/>
          <w:szCs w:val="24"/>
          <w:lang w:val="tr-TR"/>
        </w:rPr>
        <w:t xml:space="preserve">  Türkiye Barolar Birliği(TBB) Genel Kuruluna il baroları tarafından gönderilecek delegelerin belirlenmesinde büyük barolar aleyhine </w:t>
      </w:r>
      <w:r w:rsidR="002A4D4F" w:rsidRPr="00247141">
        <w:rPr>
          <w:rFonts w:ascii="Times New Roman" w:hAnsi="Times New Roman" w:cs="Times New Roman"/>
          <w:sz w:val="24"/>
          <w:szCs w:val="24"/>
          <w:lang w:val="tr-TR"/>
        </w:rPr>
        <w:t xml:space="preserve">Anayasa’nın 67. </w:t>
      </w:r>
      <w:r w:rsidR="00F27D57" w:rsidRPr="00247141">
        <w:rPr>
          <w:rFonts w:ascii="Times New Roman" w:hAnsi="Times New Roman" w:cs="Times New Roman"/>
          <w:sz w:val="24"/>
          <w:szCs w:val="24"/>
          <w:lang w:val="tr-TR"/>
        </w:rPr>
        <w:t>m</w:t>
      </w:r>
      <w:r w:rsidR="002A4D4F" w:rsidRPr="00247141">
        <w:rPr>
          <w:rFonts w:ascii="Times New Roman" w:hAnsi="Times New Roman" w:cs="Times New Roman"/>
          <w:sz w:val="24"/>
          <w:szCs w:val="24"/>
          <w:lang w:val="tr-TR"/>
        </w:rPr>
        <w:t>addesinde belirtilen „</w:t>
      </w:r>
      <w:r w:rsidR="00581E29" w:rsidRPr="00247141">
        <w:rPr>
          <w:rFonts w:ascii="Times New Roman" w:hAnsi="Times New Roman" w:cs="Times New Roman"/>
          <w:sz w:val="24"/>
          <w:szCs w:val="24"/>
          <w:lang w:val="tr-TR"/>
        </w:rPr>
        <w:t>temsilde adalet</w:t>
      </w:r>
      <w:r w:rsidR="002A4D4F" w:rsidRPr="00247141">
        <w:rPr>
          <w:rFonts w:ascii="Times New Roman" w:hAnsi="Times New Roman" w:cs="Times New Roman"/>
          <w:sz w:val="24"/>
          <w:szCs w:val="24"/>
          <w:lang w:val="tr-TR"/>
        </w:rPr>
        <w:t>“ ilkesini ihlal edecek</w:t>
      </w:r>
      <w:r w:rsidR="002A4D4F" w:rsidRPr="00247141">
        <w:rPr>
          <w:rStyle w:val="FootnoteReference"/>
          <w:rFonts w:ascii="Times New Roman" w:hAnsi="Times New Roman" w:cs="Times New Roman"/>
          <w:sz w:val="24"/>
          <w:szCs w:val="24"/>
        </w:rPr>
        <w:footnoteReference w:id="64"/>
      </w:r>
      <w:r w:rsidR="002A4D4F" w:rsidRPr="00247141">
        <w:rPr>
          <w:rFonts w:ascii="Times New Roman" w:hAnsi="Times New Roman" w:cs="Times New Roman"/>
          <w:sz w:val="24"/>
          <w:szCs w:val="24"/>
          <w:lang w:val="tr-TR"/>
        </w:rPr>
        <w:t xml:space="preserve"> </w:t>
      </w:r>
      <w:r w:rsidR="00581E29" w:rsidRPr="00247141">
        <w:rPr>
          <w:rFonts w:ascii="Times New Roman" w:hAnsi="Times New Roman" w:cs="Times New Roman"/>
          <w:sz w:val="24"/>
          <w:szCs w:val="24"/>
          <w:lang w:val="tr-TR"/>
        </w:rPr>
        <w:t xml:space="preserve">şekilde değişiklik yapılmış ve yine TBB </w:t>
      </w:r>
      <w:r w:rsidR="002A4D4F" w:rsidRPr="00247141">
        <w:rPr>
          <w:rFonts w:ascii="Times New Roman" w:hAnsi="Times New Roman" w:cs="Times New Roman"/>
          <w:sz w:val="24"/>
          <w:szCs w:val="24"/>
          <w:lang w:val="tr-TR"/>
        </w:rPr>
        <w:t>olağan</w:t>
      </w:r>
      <w:r w:rsidR="002C6862" w:rsidRPr="00247141">
        <w:rPr>
          <w:rFonts w:ascii="Times New Roman" w:hAnsi="Times New Roman" w:cs="Times New Roman"/>
          <w:sz w:val="24"/>
          <w:szCs w:val="24"/>
          <w:lang w:val="tr-TR"/>
        </w:rPr>
        <w:t>ü</w:t>
      </w:r>
      <w:r w:rsidR="002A4D4F" w:rsidRPr="00247141">
        <w:rPr>
          <w:rFonts w:ascii="Times New Roman" w:hAnsi="Times New Roman" w:cs="Times New Roman"/>
          <w:sz w:val="24"/>
          <w:szCs w:val="24"/>
          <w:lang w:val="tr-TR"/>
        </w:rPr>
        <w:t xml:space="preserve">stü genel kurulunda seçim yapılabilmesi olanaksız hale getirilmiştir. Anayasa Mahkemesi iptal davası ile önüne gelen </w:t>
      </w:r>
      <w:r w:rsidR="00130593" w:rsidRPr="00247141">
        <w:rPr>
          <w:rFonts w:ascii="Times New Roman" w:hAnsi="Times New Roman" w:cs="Times New Roman"/>
          <w:sz w:val="24"/>
          <w:szCs w:val="24"/>
          <w:lang w:val="tr-TR"/>
        </w:rPr>
        <w:t xml:space="preserve">anayasaya aykırılık iddiasını reddederken „çoklu baro“ düzenlemesi açısından  sadece kanun koyucunun avukat sayısının çok fazla olmasından kaynaklı  sorunların çözülmesi ve </w:t>
      </w:r>
      <w:r w:rsidR="00504618" w:rsidRPr="00247141">
        <w:rPr>
          <w:rFonts w:ascii="Times New Roman" w:hAnsi="Times New Roman" w:cs="Times New Roman"/>
          <w:sz w:val="24"/>
          <w:szCs w:val="24"/>
          <w:lang w:val="tr-TR"/>
        </w:rPr>
        <w:t xml:space="preserve"> baro hizmetlerinin daha sağlıklı </w:t>
      </w:r>
      <w:r w:rsidR="00DF41F2" w:rsidRPr="00247141">
        <w:rPr>
          <w:rFonts w:ascii="Times New Roman" w:hAnsi="Times New Roman" w:cs="Times New Roman"/>
          <w:sz w:val="24"/>
          <w:szCs w:val="24"/>
          <w:lang w:val="tr-TR"/>
        </w:rPr>
        <w:t>yürütülebilmesi</w:t>
      </w:r>
      <w:r w:rsidR="00504618" w:rsidRPr="00247141">
        <w:rPr>
          <w:rFonts w:ascii="Times New Roman" w:hAnsi="Times New Roman" w:cs="Times New Roman"/>
          <w:sz w:val="24"/>
          <w:szCs w:val="24"/>
          <w:lang w:val="tr-TR"/>
        </w:rPr>
        <w:t xml:space="preserve"> yönündeki gerekçesi ile bağlı kalmış ve buradan hareketle kuralın kamu yararı dışında başka bir amaç gütmediğini belirtmiştir.</w:t>
      </w:r>
      <w:r w:rsidR="00504618" w:rsidRPr="00247141">
        <w:rPr>
          <w:rStyle w:val="FootnoteReference"/>
          <w:rFonts w:ascii="Times New Roman" w:hAnsi="Times New Roman" w:cs="Times New Roman"/>
          <w:sz w:val="24"/>
          <w:szCs w:val="24"/>
        </w:rPr>
        <w:footnoteReference w:id="65"/>
      </w:r>
      <w:r w:rsidR="00504618" w:rsidRPr="00247141">
        <w:rPr>
          <w:rFonts w:ascii="Times New Roman" w:hAnsi="Times New Roman" w:cs="Times New Roman"/>
          <w:sz w:val="24"/>
          <w:szCs w:val="24"/>
          <w:lang w:val="tr-TR"/>
        </w:rPr>
        <w:t xml:space="preserve"> Mahkeme bunun ötesinde özellikle iptal davasında yer alan</w:t>
      </w:r>
      <w:r w:rsidR="00DF41F2" w:rsidRPr="00247141">
        <w:rPr>
          <w:rFonts w:ascii="Times New Roman" w:hAnsi="Times New Roman" w:cs="Times New Roman"/>
          <w:sz w:val="24"/>
          <w:szCs w:val="24"/>
          <w:lang w:val="tr-TR"/>
        </w:rPr>
        <w:t>;</w:t>
      </w:r>
      <w:r w:rsidR="00504618" w:rsidRPr="00247141">
        <w:rPr>
          <w:rFonts w:ascii="Times New Roman" w:hAnsi="Times New Roman" w:cs="Times New Roman"/>
          <w:sz w:val="24"/>
          <w:szCs w:val="24"/>
          <w:lang w:val="tr-TR"/>
        </w:rPr>
        <w:t xml:space="preserve"> baroların hukuki </w:t>
      </w:r>
      <w:r w:rsidR="00DF41F2" w:rsidRPr="00247141">
        <w:rPr>
          <w:rFonts w:ascii="Times New Roman" w:hAnsi="Times New Roman" w:cs="Times New Roman"/>
          <w:sz w:val="24"/>
          <w:szCs w:val="24"/>
          <w:lang w:val="tr-TR"/>
        </w:rPr>
        <w:t>üstünlüğünün ve insan haklarını</w:t>
      </w:r>
      <w:r w:rsidR="00504618" w:rsidRPr="00247141">
        <w:rPr>
          <w:rFonts w:ascii="Times New Roman" w:hAnsi="Times New Roman" w:cs="Times New Roman"/>
          <w:sz w:val="24"/>
          <w:szCs w:val="24"/>
          <w:lang w:val="tr-TR"/>
        </w:rPr>
        <w:t xml:space="preserve"> koruma görevinin işlevsiz hale geleceği,</w:t>
      </w:r>
      <w:r w:rsidR="004D0DE6" w:rsidRPr="00247141">
        <w:rPr>
          <w:rFonts w:ascii="Times New Roman" w:hAnsi="Times New Roman" w:cs="Times New Roman"/>
          <w:sz w:val="24"/>
          <w:szCs w:val="24"/>
          <w:lang w:val="tr-TR"/>
        </w:rPr>
        <w:t xml:space="preserve"> barolar arasında ideolojik/etnik ayrışmalara yol açacağı ve</w:t>
      </w:r>
      <w:r w:rsidR="00504618" w:rsidRPr="00247141">
        <w:rPr>
          <w:rFonts w:ascii="Times New Roman" w:hAnsi="Times New Roman" w:cs="Times New Roman"/>
          <w:sz w:val="24"/>
          <w:szCs w:val="24"/>
          <w:lang w:val="tr-TR"/>
        </w:rPr>
        <w:t xml:space="preserve"> kanunun idarenin</w:t>
      </w:r>
      <w:r w:rsidR="004D0DE6" w:rsidRPr="00247141">
        <w:rPr>
          <w:rFonts w:ascii="Times New Roman" w:hAnsi="Times New Roman" w:cs="Times New Roman"/>
          <w:sz w:val="24"/>
          <w:szCs w:val="24"/>
          <w:lang w:val="tr-TR"/>
        </w:rPr>
        <w:t xml:space="preserve"> </w:t>
      </w:r>
      <w:r w:rsidR="004D0DE6" w:rsidRPr="00247141">
        <w:rPr>
          <w:rFonts w:ascii="Times New Roman" w:hAnsi="Times New Roman" w:cs="Times New Roman"/>
          <w:sz w:val="24"/>
          <w:szCs w:val="24"/>
          <w:lang w:val="tr-TR"/>
        </w:rPr>
        <w:lastRenderedPageBreak/>
        <w:t>bütünlüğü ilkesini ihlal ettiği yönündeki iddiaları araştırma</w:t>
      </w:r>
      <w:r w:rsidR="00DF41F2" w:rsidRPr="00247141">
        <w:rPr>
          <w:rFonts w:ascii="Times New Roman" w:hAnsi="Times New Roman" w:cs="Times New Roman"/>
          <w:sz w:val="24"/>
          <w:szCs w:val="24"/>
          <w:lang w:val="tr-TR"/>
        </w:rPr>
        <w:t>n</w:t>
      </w:r>
      <w:r w:rsidR="004D0DE6" w:rsidRPr="00247141">
        <w:rPr>
          <w:rFonts w:ascii="Times New Roman" w:hAnsi="Times New Roman" w:cs="Times New Roman"/>
          <w:sz w:val="24"/>
          <w:szCs w:val="24"/>
          <w:lang w:val="tr-TR"/>
        </w:rPr>
        <w:t>ın</w:t>
      </w:r>
      <w:r w:rsidR="00DF41F2" w:rsidRPr="00247141">
        <w:rPr>
          <w:rFonts w:ascii="Times New Roman" w:hAnsi="Times New Roman" w:cs="Times New Roman"/>
          <w:sz w:val="24"/>
          <w:szCs w:val="24"/>
          <w:lang w:val="tr-TR"/>
        </w:rPr>
        <w:t xml:space="preserve"> </w:t>
      </w:r>
      <w:r w:rsidR="004D0DE6" w:rsidRPr="00247141">
        <w:rPr>
          <w:rFonts w:ascii="Times New Roman" w:hAnsi="Times New Roman" w:cs="Times New Roman"/>
          <w:sz w:val="24"/>
          <w:szCs w:val="24"/>
          <w:lang w:val="tr-TR"/>
        </w:rPr>
        <w:t>yerindelik denetimi kapsamın</w:t>
      </w:r>
      <w:r w:rsidR="00DF41F2" w:rsidRPr="00247141">
        <w:rPr>
          <w:rFonts w:ascii="Times New Roman" w:hAnsi="Times New Roman" w:cs="Times New Roman"/>
          <w:sz w:val="24"/>
          <w:szCs w:val="24"/>
          <w:lang w:val="tr-TR"/>
        </w:rPr>
        <w:t>da olacağını belirtmiştir. Oysa</w:t>
      </w:r>
      <w:r w:rsidR="004D0DE6" w:rsidRPr="00247141">
        <w:rPr>
          <w:rFonts w:ascii="Times New Roman" w:hAnsi="Times New Roman" w:cs="Times New Roman"/>
          <w:sz w:val="24"/>
          <w:szCs w:val="24"/>
          <w:lang w:val="tr-TR"/>
        </w:rPr>
        <w:t xml:space="preserve">ki </w:t>
      </w:r>
      <w:r w:rsidR="00354AED" w:rsidRPr="00247141">
        <w:rPr>
          <w:rFonts w:ascii="Times New Roman" w:hAnsi="Times New Roman" w:cs="Times New Roman"/>
          <w:sz w:val="24"/>
          <w:szCs w:val="24"/>
          <w:lang w:val="tr-TR"/>
        </w:rPr>
        <w:t>bir kanunun anayasaya aykırılı</w:t>
      </w:r>
      <w:r w:rsidR="00DF41F2" w:rsidRPr="00247141">
        <w:rPr>
          <w:rFonts w:ascii="Times New Roman" w:hAnsi="Times New Roman" w:cs="Times New Roman"/>
          <w:sz w:val="24"/>
          <w:szCs w:val="24"/>
          <w:lang w:val="tr-TR"/>
        </w:rPr>
        <w:t xml:space="preserve">ğına ilişkin esas incelemesinde; </w:t>
      </w:r>
      <w:r w:rsidR="00354AED" w:rsidRPr="00247141">
        <w:rPr>
          <w:rFonts w:ascii="Times New Roman" w:hAnsi="Times New Roman" w:cs="Times New Roman"/>
          <w:sz w:val="24"/>
          <w:szCs w:val="24"/>
          <w:lang w:val="tr-TR"/>
        </w:rPr>
        <w:t>kanun koyucunun</w:t>
      </w:r>
      <w:r w:rsidR="004D0DE6" w:rsidRPr="00247141">
        <w:rPr>
          <w:rFonts w:ascii="Times New Roman" w:hAnsi="Times New Roman" w:cs="Times New Roman"/>
          <w:sz w:val="24"/>
          <w:szCs w:val="24"/>
          <w:lang w:val="tr-TR"/>
        </w:rPr>
        <w:t xml:space="preserve"> kişisel, siyasal ya da saklı bir amaç güttüğü durum</w:t>
      </w:r>
      <w:r w:rsidR="00354AED" w:rsidRPr="00247141">
        <w:rPr>
          <w:rFonts w:ascii="Times New Roman" w:hAnsi="Times New Roman" w:cs="Times New Roman"/>
          <w:sz w:val="24"/>
          <w:szCs w:val="24"/>
          <w:lang w:val="tr-TR"/>
        </w:rPr>
        <w:t>l</w:t>
      </w:r>
      <w:r w:rsidR="004D0DE6" w:rsidRPr="00247141">
        <w:rPr>
          <w:rFonts w:ascii="Times New Roman" w:hAnsi="Times New Roman" w:cs="Times New Roman"/>
          <w:sz w:val="24"/>
          <w:szCs w:val="24"/>
          <w:lang w:val="tr-TR"/>
        </w:rPr>
        <w:t>arda, yani</w:t>
      </w:r>
      <w:r w:rsidR="00354AED" w:rsidRPr="00247141">
        <w:rPr>
          <w:rFonts w:ascii="Times New Roman" w:hAnsi="Times New Roman" w:cs="Times New Roman"/>
          <w:sz w:val="24"/>
          <w:szCs w:val="24"/>
          <w:lang w:val="tr-TR"/>
        </w:rPr>
        <w:t xml:space="preserve"> kanun koyucunun</w:t>
      </w:r>
      <w:r w:rsidR="004D0DE6" w:rsidRPr="00247141">
        <w:rPr>
          <w:rFonts w:ascii="Times New Roman" w:hAnsi="Times New Roman" w:cs="Times New Roman"/>
          <w:sz w:val="24"/>
          <w:szCs w:val="24"/>
          <w:lang w:val="tr-TR"/>
        </w:rPr>
        <w:t xml:space="preserve"> başka bir</w:t>
      </w:r>
      <w:r w:rsidR="00354AED" w:rsidRPr="00247141">
        <w:rPr>
          <w:rFonts w:ascii="Times New Roman" w:hAnsi="Times New Roman" w:cs="Times New Roman"/>
          <w:sz w:val="24"/>
          <w:szCs w:val="24"/>
          <w:lang w:val="tr-TR"/>
        </w:rPr>
        <w:t xml:space="preserve"> </w:t>
      </w:r>
      <w:r w:rsidR="004D0DE6" w:rsidRPr="00247141">
        <w:rPr>
          <w:rFonts w:ascii="Times New Roman" w:hAnsi="Times New Roman" w:cs="Times New Roman"/>
          <w:sz w:val="24"/>
          <w:szCs w:val="24"/>
          <w:lang w:val="tr-TR"/>
        </w:rPr>
        <w:t>amaca u</w:t>
      </w:r>
      <w:r w:rsidR="00354AED" w:rsidRPr="00247141">
        <w:rPr>
          <w:rFonts w:ascii="Times New Roman" w:hAnsi="Times New Roman" w:cs="Times New Roman"/>
          <w:sz w:val="24"/>
          <w:szCs w:val="24"/>
          <w:lang w:val="tr-TR"/>
        </w:rPr>
        <w:t>l</w:t>
      </w:r>
      <w:r w:rsidR="004D0DE6" w:rsidRPr="00247141">
        <w:rPr>
          <w:rFonts w:ascii="Times New Roman" w:hAnsi="Times New Roman" w:cs="Times New Roman"/>
          <w:sz w:val="24"/>
          <w:szCs w:val="24"/>
          <w:lang w:val="tr-TR"/>
        </w:rPr>
        <w:t>aşmak için bir konuyu kanun</w:t>
      </w:r>
      <w:r w:rsidR="00354AED" w:rsidRPr="00247141">
        <w:rPr>
          <w:rFonts w:ascii="Times New Roman" w:hAnsi="Times New Roman" w:cs="Times New Roman"/>
          <w:sz w:val="24"/>
          <w:szCs w:val="24"/>
          <w:lang w:val="tr-TR"/>
        </w:rPr>
        <w:t>l</w:t>
      </w:r>
      <w:r w:rsidR="004D0DE6" w:rsidRPr="00247141">
        <w:rPr>
          <w:rFonts w:ascii="Times New Roman" w:hAnsi="Times New Roman" w:cs="Times New Roman"/>
          <w:sz w:val="24"/>
          <w:szCs w:val="24"/>
          <w:lang w:val="tr-TR"/>
        </w:rPr>
        <w:t>a düzen</w:t>
      </w:r>
      <w:r w:rsidR="00354AED" w:rsidRPr="00247141">
        <w:rPr>
          <w:rFonts w:ascii="Times New Roman" w:hAnsi="Times New Roman" w:cs="Times New Roman"/>
          <w:sz w:val="24"/>
          <w:szCs w:val="24"/>
          <w:lang w:val="tr-TR"/>
        </w:rPr>
        <w:t>l</w:t>
      </w:r>
      <w:r w:rsidR="004D0DE6" w:rsidRPr="00247141">
        <w:rPr>
          <w:rFonts w:ascii="Times New Roman" w:hAnsi="Times New Roman" w:cs="Times New Roman"/>
          <w:sz w:val="24"/>
          <w:szCs w:val="24"/>
          <w:lang w:val="tr-TR"/>
        </w:rPr>
        <w:t xml:space="preserve">ediği </w:t>
      </w:r>
      <w:r w:rsidR="00354AED" w:rsidRPr="00247141">
        <w:rPr>
          <w:rFonts w:ascii="Times New Roman" w:hAnsi="Times New Roman" w:cs="Times New Roman"/>
          <w:sz w:val="24"/>
          <w:szCs w:val="24"/>
          <w:lang w:val="tr-TR"/>
        </w:rPr>
        <w:t>hallerde, bir kam</w:t>
      </w:r>
      <w:r w:rsidR="00DF41F2" w:rsidRPr="00247141">
        <w:rPr>
          <w:rFonts w:ascii="Times New Roman" w:hAnsi="Times New Roman" w:cs="Times New Roman"/>
          <w:sz w:val="24"/>
          <w:szCs w:val="24"/>
          <w:lang w:val="tr-TR"/>
        </w:rPr>
        <w:t>u yararını bulunup bulunmadığı</w:t>
      </w:r>
      <w:r w:rsidR="00354AED" w:rsidRPr="00247141">
        <w:rPr>
          <w:rFonts w:ascii="Times New Roman" w:hAnsi="Times New Roman" w:cs="Times New Roman"/>
          <w:sz w:val="24"/>
          <w:szCs w:val="24"/>
          <w:lang w:val="tr-TR"/>
        </w:rPr>
        <w:t>, ortada bir yetki saptırması olup olmadığı Mahkeme tarafından araştırılmalıdır.</w:t>
      </w:r>
      <w:r w:rsidR="00354AED" w:rsidRPr="00247141">
        <w:rPr>
          <w:rStyle w:val="FootnoteReference"/>
          <w:rFonts w:ascii="Times New Roman" w:hAnsi="Times New Roman" w:cs="Times New Roman"/>
          <w:sz w:val="24"/>
          <w:szCs w:val="24"/>
        </w:rPr>
        <w:footnoteReference w:id="66"/>
      </w:r>
    </w:p>
    <w:p w14:paraId="7DE4C3F3" w14:textId="734A2C94" w:rsidR="00730AE4" w:rsidRPr="00247141" w:rsidRDefault="00354AED" w:rsidP="00354AED">
      <w:pPr>
        <w:jc w:val="both"/>
        <w:rPr>
          <w:rFonts w:ascii="Times New Roman" w:hAnsi="Times New Roman" w:cs="Times New Roman"/>
          <w:sz w:val="24"/>
          <w:szCs w:val="24"/>
          <w:lang w:val="tr-TR"/>
        </w:rPr>
      </w:pPr>
      <w:r w:rsidRPr="00247141">
        <w:rPr>
          <w:rFonts w:ascii="Times New Roman" w:hAnsi="Times New Roman" w:cs="Times New Roman"/>
          <w:sz w:val="24"/>
          <w:szCs w:val="24"/>
          <w:lang w:val="tr-TR"/>
        </w:rPr>
        <w:t>Kaldı ki iptal davası</w:t>
      </w:r>
      <w:r w:rsidR="001F6F2F" w:rsidRPr="00247141">
        <w:rPr>
          <w:rFonts w:ascii="Times New Roman" w:hAnsi="Times New Roman" w:cs="Times New Roman"/>
          <w:sz w:val="24"/>
          <w:szCs w:val="24"/>
          <w:lang w:val="tr-TR"/>
        </w:rPr>
        <w:t xml:space="preserve"> </w:t>
      </w:r>
      <w:r w:rsidRPr="00247141">
        <w:rPr>
          <w:rFonts w:ascii="Times New Roman" w:hAnsi="Times New Roman" w:cs="Times New Roman"/>
          <w:sz w:val="24"/>
          <w:szCs w:val="24"/>
          <w:lang w:val="tr-TR"/>
        </w:rPr>
        <w:t xml:space="preserve">dilekçesinde ve öğretide dile getirilen bu görüşler salt kanun koyucunun takdir marjına yönelik siyasal değerlendirmeler olmamakta, Mahkemenin de kararlarında destek ölçü norm olarak çoğunlukla yer verdiği Avrupa İnsan Hakları </w:t>
      </w:r>
      <w:r w:rsidR="00572588" w:rsidRPr="00247141">
        <w:rPr>
          <w:rFonts w:ascii="Times New Roman" w:hAnsi="Times New Roman" w:cs="Times New Roman"/>
          <w:sz w:val="24"/>
          <w:szCs w:val="24"/>
          <w:lang w:val="tr-TR"/>
        </w:rPr>
        <w:t>Komisyonu(AİHK) ve Avrupa İnsan Hakları Mahkemesi’nin(AİHM)</w:t>
      </w:r>
      <w:r w:rsidRPr="00247141">
        <w:rPr>
          <w:rFonts w:ascii="Times New Roman" w:hAnsi="Times New Roman" w:cs="Times New Roman"/>
          <w:sz w:val="24"/>
          <w:szCs w:val="24"/>
          <w:lang w:val="tr-TR"/>
        </w:rPr>
        <w:t xml:space="preserve"> örgütlen</w:t>
      </w:r>
      <w:r w:rsidR="00DF41F2" w:rsidRPr="00247141">
        <w:rPr>
          <w:rFonts w:ascii="Times New Roman" w:hAnsi="Times New Roman" w:cs="Times New Roman"/>
          <w:sz w:val="24"/>
          <w:szCs w:val="24"/>
          <w:lang w:val="tr-TR"/>
        </w:rPr>
        <w:t>me özgürlüğüne ilişkin içtihadi</w:t>
      </w:r>
      <w:r w:rsidR="00572588" w:rsidRPr="00247141">
        <w:rPr>
          <w:rFonts w:ascii="Times New Roman" w:hAnsi="Times New Roman" w:cs="Times New Roman"/>
          <w:sz w:val="24"/>
          <w:szCs w:val="24"/>
          <w:lang w:val="tr-TR"/>
        </w:rPr>
        <w:t xml:space="preserve"> tutumunu da yansıtmaktaydı. Nitekim AİHK, A. ve diğerleri</w:t>
      </w:r>
      <w:r w:rsidR="00730AE4" w:rsidRPr="00247141">
        <w:rPr>
          <w:rFonts w:ascii="Times New Roman" w:hAnsi="Times New Roman" w:cs="Times New Roman"/>
          <w:sz w:val="24"/>
          <w:szCs w:val="24"/>
          <w:lang w:val="tr-TR"/>
        </w:rPr>
        <w:t xml:space="preserve"> v.</w:t>
      </w:r>
      <w:r w:rsidR="00572588" w:rsidRPr="00247141">
        <w:rPr>
          <w:rFonts w:ascii="Times New Roman" w:hAnsi="Times New Roman" w:cs="Times New Roman"/>
          <w:sz w:val="24"/>
          <w:szCs w:val="24"/>
          <w:lang w:val="tr-TR"/>
        </w:rPr>
        <w:t xml:space="preserve"> İspanya kararında</w:t>
      </w:r>
      <w:r w:rsidR="00A125E1" w:rsidRPr="00247141">
        <w:rPr>
          <w:rFonts w:ascii="Times New Roman" w:hAnsi="Times New Roman" w:cs="Times New Roman"/>
          <w:sz w:val="24"/>
          <w:szCs w:val="24"/>
          <w:lang w:val="tr-TR"/>
        </w:rPr>
        <w:t>,</w:t>
      </w:r>
      <w:r w:rsidR="00572588" w:rsidRPr="00247141">
        <w:rPr>
          <w:rFonts w:ascii="Times New Roman" w:hAnsi="Times New Roman" w:cs="Times New Roman"/>
          <w:sz w:val="24"/>
          <w:szCs w:val="24"/>
          <w:lang w:val="tr-TR"/>
        </w:rPr>
        <w:t xml:space="preserve"> </w:t>
      </w:r>
      <w:r w:rsidR="00A125E1" w:rsidRPr="00247141">
        <w:rPr>
          <w:rFonts w:ascii="Times New Roman" w:hAnsi="Times New Roman" w:cs="Times New Roman"/>
          <w:sz w:val="24"/>
          <w:szCs w:val="24"/>
          <w:lang w:val="tr-TR"/>
        </w:rPr>
        <w:t>Saragossa Barosu’na bağlı Genç Avukatlar Grubu’nun yapmış olduğu başvuruda avukatların faaliyetlerini Barolar Birliği’nin denetimi altında yürütmek zorunda olmalarını ve kanunda Baro ile aynı amaçla hareket etmek üzere örgütlenen, kendi ‘barolarını’ kuran ya da gruplarını birleştiren kişilere disiplin cezası öngörülmesini örgütlenme özgürlüğüne aykırı bulmamıştır.</w:t>
      </w:r>
      <w:r w:rsidR="00A125E1" w:rsidRPr="00247141">
        <w:rPr>
          <w:rStyle w:val="FootnoteReference"/>
          <w:rFonts w:ascii="Times New Roman" w:hAnsi="Times New Roman" w:cs="Times New Roman"/>
          <w:sz w:val="24"/>
          <w:szCs w:val="24"/>
        </w:rPr>
        <w:footnoteReference w:id="67"/>
      </w:r>
      <w:r w:rsidR="002862B9" w:rsidRPr="00247141">
        <w:rPr>
          <w:rFonts w:ascii="Times New Roman" w:hAnsi="Times New Roman" w:cs="Times New Roman"/>
          <w:sz w:val="24"/>
          <w:szCs w:val="24"/>
          <w:lang w:val="tr-TR"/>
        </w:rPr>
        <w:t xml:space="preserve"> Benzer biçimde AİHM de </w:t>
      </w:r>
      <w:r w:rsidR="00730AE4" w:rsidRPr="00247141">
        <w:rPr>
          <w:rFonts w:ascii="Times New Roman" w:hAnsi="Times New Roman" w:cs="Times New Roman"/>
          <w:sz w:val="24"/>
          <w:szCs w:val="24"/>
          <w:lang w:val="tr-TR"/>
        </w:rPr>
        <w:t>bağımsız bir baro biçiminde  örgütlenmek isteyen derneğin kapatılmasının, avukatların sahip oldukları hukuki rolün önemi doğrultusunda hukuki yardım/danışmanlığın</w:t>
      </w:r>
      <w:r w:rsidR="00DF41F2" w:rsidRPr="00247141">
        <w:rPr>
          <w:rFonts w:ascii="Times New Roman" w:hAnsi="Times New Roman" w:cs="Times New Roman"/>
          <w:sz w:val="24"/>
          <w:szCs w:val="24"/>
          <w:lang w:val="tr-TR"/>
        </w:rPr>
        <w:t xml:space="preserve"> </w:t>
      </w:r>
      <w:r w:rsidR="00730AE4" w:rsidRPr="00247141">
        <w:rPr>
          <w:rFonts w:ascii="Times New Roman" w:hAnsi="Times New Roman" w:cs="Times New Roman"/>
          <w:sz w:val="24"/>
          <w:szCs w:val="24"/>
          <w:lang w:val="tr-TR"/>
        </w:rPr>
        <w:t>(</w:t>
      </w:r>
      <w:r w:rsidR="00730AE4" w:rsidRPr="00247141">
        <w:rPr>
          <w:rFonts w:ascii="Times New Roman" w:hAnsi="Times New Roman" w:cs="Times New Roman"/>
          <w:i/>
          <w:iCs/>
          <w:sz w:val="24"/>
          <w:szCs w:val="24"/>
          <w:lang w:val="tr-TR"/>
        </w:rPr>
        <w:t>legal asistance</w:t>
      </w:r>
      <w:r w:rsidR="00730AE4" w:rsidRPr="00247141">
        <w:rPr>
          <w:rFonts w:ascii="Times New Roman" w:hAnsi="Times New Roman" w:cs="Times New Roman"/>
          <w:sz w:val="24"/>
          <w:szCs w:val="24"/>
          <w:lang w:val="tr-TR"/>
        </w:rPr>
        <w:t>)  kalitesinin muhafazası gibi meşru amaçlar güden</w:t>
      </w:r>
      <w:r w:rsidR="00DF41F2" w:rsidRPr="00247141">
        <w:rPr>
          <w:rFonts w:ascii="Times New Roman" w:hAnsi="Times New Roman" w:cs="Times New Roman"/>
          <w:sz w:val="24"/>
          <w:szCs w:val="24"/>
          <w:lang w:val="tr-TR"/>
        </w:rPr>
        <w:t xml:space="preserve"> müdahalenin</w:t>
      </w:r>
      <w:r w:rsidR="00730AE4" w:rsidRPr="00247141">
        <w:rPr>
          <w:rFonts w:ascii="Times New Roman" w:hAnsi="Times New Roman" w:cs="Times New Roman"/>
          <w:sz w:val="24"/>
          <w:szCs w:val="24"/>
          <w:lang w:val="tr-TR"/>
        </w:rPr>
        <w:t xml:space="preserve"> orantısız bir müdahale olmadığına karar vermiş ve başvurucunun örgütlenme özgürlüğünün ihlal edilmediğine karar vermiştir.</w:t>
      </w:r>
      <w:r w:rsidR="00730AE4" w:rsidRPr="00247141">
        <w:rPr>
          <w:rStyle w:val="FootnoteReference"/>
          <w:rFonts w:ascii="Times New Roman" w:hAnsi="Times New Roman" w:cs="Times New Roman"/>
          <w:sz w:val="24"/>
          <w:szCs w:val="24"/>
        </w:rPr>
        <w:footnoteReference w:id="68"/>
      </w:r>
      <w:r w:rsidR="00875ED1" w:rsidRPr="00247141">
        <w:rPr>
          <w:rFonts w:ascii="Times New Roman" w:hAnsi="Times New Roman" w:cs="Times New Roman"/>
          <w:sz w:val="24"/>
          <w:szCs w:val="24"/>
          <w:lang w:val="tr-TR"/>
        </w:rPr>
        <w:t xml:space="preserve"> </w:t>
      </w:r>
    </w:p>
    <w:p w14:paraId="3922F02C" w14:textId="30EDB5B9" w:rsidR="00875ED1" w:rsidRPr="00247141" w:rsidRDefault="002C6862" w:rsidP="00354AED">
      <w:pPr>
        <w:jc w:val="both"/>
        <w:rPr>
          <w:rFonts w:ascii="Times New Roman" w:hAnsi="Times New Roman" w:cs="Times New Roman"/>
          <w:sz w:val="24"/>
          <w:szCs w:val="24"/>
          <w:lang w:val="tr-TR"/>
        </w:rPr>
      </w:pPr>
      <w:r w:rsidRPr="00247141">
        <w:rPr>
          <w:rFonts w:ascii="Times New Roman" w:hAnsi="Times New Roman" w:cs="Times New Roman"/>
          <w:sz w:val="24"/>
          <w:szCs w:val="24"/>
          <w:lang w:val="tr-TR"/>
        </w:rPr>
        <w:t>Kararda</w:t>
      </w:r>
      <w:r w:rsidR="00DF41F2" w:rsidRPr="00247141">
        <w:rPr>
          <w:rFonts w:ascii="Times New Roman" w:hAnsi="Times New Roman" w:cs="Times New Roman"/>
          <w:sz w:val="24"/>
          <w:szCs w:val="24"/>
          <w:lang w:val="tr-TR"/>
        </w:rPr>
        <w:t xml:space="preserve"> bir başka tartışmalı husus ise</w:t>
      </w:r>
      <w:r w:rsidR="001E5869" w:rsidRPr="00247141">
        <w:rPr>
          <w:rFonts w:ascii="Times New Roman" w:hAnsi="Times New Roman" w:cs="Times New Roman"/>
          <w:sz w:val="24"/>
          <w:szCs w:val="24"/>
          <w:lang w:val="tr-TR"/>
        </w:rPr>
        <w:t xml:space="preserve"> olağanüstü topla</w:t>
      </w:r>
      <w:r w:rsidR="00DF41F2" w:rsidRPr="00247141">
        <w:rPr>
          <w:rFonts w:ascii="Times New Roman" w:hAnsi="Times New Roman" w:cs="Times New Roman"/>
          <w:sz w:val="24"/>
          <w:szCs w:val="24"/>
          <w:lang w:val="tr-TR"/>
        </w:rPr>
        <w:t xml:space="preserve">ntıda seçim yapılamaması kuralının </w:t>
      </w:r>
      <w:r w:rsidR="001E5869" w:rsidRPr="00247141">
        <w:rPr>
          <w:rFonts w:ascii="Times New Roman" w:hAnsi="Times New Roman" w:cs="Times New Roman"/>
          <w:sz w:val="24"/>
          <w:szCs w:val="24"/>
          <w:lang w:val="tr-TR"/>
        </w:rPr>
        <w:t>getirilerek TBB yetkili kurullarının dört sene boyunca seçim yoluyla değiştirilmesinin engellenmesidir. Bu durum karara karşı oy yazan AYM üyelerinin</w:t>
      </w:r>
      <w:r w:rsidR="001E5869" w:rsidRPr="00247141">
        <w:rPr>
          <w:rStyle w:val="FootnoteReference"/>
          <w:rFonts w:ascii="Times New Roman" w:hAnsi="Times New Roman" w:cs="Times New Roman"/>
          <w:sz w:val="24"/>
          <w:szCs w:val="24"/>
        </w:rPr>
        <w:footnoteReference w:id="69"/>
      </w:r>
      <w:r w:rsidR="001E5869" w:rsidRPr="00247141">
        <w:rPr>
          <w:rFonts w:ascii="Times New Roman" w:hAnsi="Times New Roman" w:cs="Times New Roman"/>
          <w:sz w:val="24"/>
          <w:szCs w:val="24"/>
          <w:lang w:val="tr-TR"/>
        </w:rPr>
        <w:t xml:space="preserve"> de haklı o</w:t>
      </w:r>
      <w:r w:rsidR="00DF41F2" w:rsidRPr="00247141">
        <w:rPr>
          <w:rFonts w:ascii="Times New Roman" w:hAnsi="Times New Roman" w:cs="Times New Roman"/>
          <w:sz w:val="24"/>
          <w:szCs w:val="24"/>
          <w:lang w:val="tr-TR"/>
        </w:rPr>
        <w:t>larak belirttiği üzere  Anayasa’</w:t>
      </w:r>
      <w:r w:rsidR="001E5869" w:rsidRPr="00247141">
        <w:rPr>
          <w:rFonts w:ascii="Times New Roman" w:hAnsi="Times New Roman" w:cs="Times New Roman"/>
          <w:sz w:val="24"/>
          <w:szCs w:val="24"/>
          <w:lang w:val="tr-TR"/>
        </w:rPr>
        <w:t>nın meslek kuruluşlarına verdiği seçme yetkisi ve meslek özerkliğini ortadan kaldırmakta ve demokratik hukuk devlet  ilkesine aykırılık oluşturmaktadır.</w:t>
      </w:r>
    </w:p>
    <w:p w14:paraId="10778165" w14:textId="561C8C05" w:rsidR="007376AB" w:rsidRPr="00247141" w:rsidRDefault="00875ED1" w:rsidP="00377D5E">
      <w:pPr>
        <w:jc w:val="both"/>
        <w:rPr>
          <w:rFonts w:ascii="Times New Roman" w:hAnsi="Times New Roman" w:cs="Times New Roman"/>
          <w:sz w:val="24"/>
          <w:szCs w:val="24"/>
          <w:lang w:val="tr-TR"/>
        </w:rPr>
      </w:pPr>
      <w:r w:rsidRPr="00247141">
        <w:rPr>
          <w:rFonts w:ascii="Times New Roman" w:hAnsi="Times New Roman" w:cs="Times New Roman"/>
          <w:sz w:val="24"/>
          <w:szCs w:val="24"/>
          <w:lang w:val="tr-TR"/>
        </w:rPr>
        <w:t>Özetle Anayasa Mahkemesi’nin de kullandığı</w:t>
      </w:r>
      <w:r w:rsidRPr="00247141">
        <w:rPr>
          <w:rStyle w:val="FootnoteReference"/>
          <w:rFonts w:ascii="Times New Roman" w:hAnsi="Times New Roman" w:cs="Times New Roman"/>
          <w:sz w:val="24"/>
          <w:szCs w:val="24"/>
        </w:rPr>
        <w:footnoteReference w:id="70"/>
      </w:r>
      <w:r w:rsidRPr="00247141">
        <w:rPr>
          <w:rFonts w:ascii="Times New Roman" w:hAnsi="Times New Roman" w:cs="Times New Roman"/>
          <w:sz w:val="24"/>
          <w:szCs w:val="24"/>
          <w:lang w:val="tr-TR"/>
        </w:rPr>
        <w:t xml:space="preserve"> tabirle</w:t>
      </w:r>
      <w:r w:rsidR="00DF41F2" w:rsidRPr="00247141">
        <w:rPr>
          <w:rFonts w:ascii="Times New Roman" w:hAnsi="Times New Roman" w:cs="Times New Roman"/>
          <w:sz w:val="24"/>
          <w:szCs w:val="24"/>
          <w:lang w:val="tr-TR"/>
        </w:rPr>
        <w:t xml:space="preserve"> yargın</w:t>
      </w:r>
      <w:r w:rsidR="002C6862" w:rsidRPr="00247141">
        <w:rPr>
          <w:rFonts w:ascii="Times New Roman" w:hAnsi="Times New Roman" w:cs="Times New Roman"/>
          <w:sz w:val="24"/>
          <w:szCs w:val="24"/>
          <w:lang w:val="tr-TR"/>
        </w:rPr>
        <w:t>ın kurucu unsurlarından olan ve „</w:t>
      </w:r>
      <w:r w:rsidR="002C6862" w:rsidRPr="00247141">
        <w:rPr>
          <w:rFonts w:ascii="Times New Roman" w:hAnsi="Times New Roman" w:cs="Times New Roman"/>
          <w:i/>
          <w:iCs/>
          <w:sz w:val="24"/>
          <w:szCs w:val="24"/>
          <w:lang w:val="tr-TR"/>
        </w:rPr>
        <w:t>hak arama özgürlüğü ve adil yargılanma hakkının önemli bir unsuru olan</w:t>
      </w:r>
      <w:r w:rsidR="002C6862" w:rsidRPr="00247141">
        <w:rPr>
          <w:rFonts w:ascii="Times New Roman" w:hAnsi="Times New Roman" w:cs="Times New Roman"/>
          <w:sz w:val="24"/>
          <w:szCs w:val="24"/>
          <w:lang w:val="tr-TR"/>
        </w:rPr>
        <w:t>“ avukatların meslek örgütü olan baroların yapısında değişiklik öngören  ilişkin 7249 sayılı Kanun ile ilgili kararında Mahkeme, gerek kanunun baroların anayasadan kaynaklı statülerini zayıflaması</w:t>
      </w:r>
      <w:r w:rsidR="00DF41F2" w:rsidRPr="00247141">
        <w:rPr>
          <w:rFonts w:ascii="Times New Roman" w:hAnsi="Times New Roman" w:cs="Times New Roman"/>
          <w:sz w:val="24"/>
          <w:szCs w:val="24"/>
          <w:lang w:val="tr-TR"/>
        </w:rPr>
        <w:t xml:space="preserve">na yol açabilecek “çoklu baro“ </w:t>
      </w:r>
      <w:r w:rsidR="002C6862" w:rsidRPr="00247141">
        <w:rPr>
          <w:rFonts w:ascii="Times New Roman" w:hAnsi="Times New Roman" w:cs="Times New Roman"/>
          <w:sz w:val="24"/>
          <w:szCs w:val="24"/>
          <w:lang w:val="tr-TR"/>
        </w:rPr>
        <w:t>düzenlemesini</w:t>
      </w:r>
      <w:r w:rsidR="001E5869" w:rsidRPr="00247141">
        <w:rPr>
          <w:rFonts w:ascii="Times New Roman" w:hAnsi="Times New Roman" w:cs="Times New Roman"/>
          <w:sz w:val="24"/>
          <w:szCs w:val="24"/>
          <w:lang w:val="tr-TR"/>
        </w:rPr>
        <w:t>,</w:t>
      </w:r>
      <w:r w:rsidR="002C6862" w:rsidRPr="00247141">
        <w:rPr>
          <w:rFonts w:ascii="Times New Roman" w:hAnsi="Times New Roman" w:cs="Times New Roman"/>
          <w:sz w:val="24"/>
          <w:szCs w:val="24"/>
          <w:lang w:val="tr-TR"/>
        </w:rPr>
        <w:t xml:space="preserve"> gerekse avukatların çatı örgütü olan</w:t>
      </w:r>
      <w:r w:rsidR="001E5869" w:rsidRPr="00247141">
        <w:rPr>
          <w:rFonts w:ascii="Times New Roman" w:hAnsi="Times New Roman" w:cs="Times New Roman"/>
          <w:sz w:val="24"/>
          <w:szCs w:val="24"/>
          <w:lang w:val="tr-TR"/>
        </w:rPr>
        <w:t xml:space="preserve"> Türkiye Barolar Birliği’nin yönetim organlarının seçimi ve denetimine ilişkin  anayasaya aykırı hükümleri iptal etmemiş ve yargının önemli bir sacayağı olan savunmanın idari teşkilatlanmasına ilişkin hukuk devletini de korumakla görevli bir yargı organının yükümlülüklerini yerine getirememiştir.</w:t>
      </w:r>
    </w:p>
    <w:p w14:paraId="203488D7" w14:textId="370E57EF" w:rsidR="005C69A3" w:rsidRPr="00247141" w:rsidRDefault="005C69A3" w:rsidP="00377D5E">
      <w:pPr>
        <w:jc w:val="both"/>
        <w:rPr>
          <w:rFonts w:ascii="Times New Roman" w:hAnsi="Times New Roman" w:cs="Times New Roman"/>
          <w:sz w:val="24"/>
          <w:szCs w:val="24"/>
          <w:lang w:val="tr-TR"/>
        </w:rPr>
      </w:pPr>
      <w:r w:rsidRPr="00247141">
        <w:rPr>
          <w:rFonts w:ascii="Times New Roman" w:hAnsi="Times New Roman" w:cs="Times New Roman"/>
          <w:sz w:val="24"/>
          <w:szCs w:val="24"/>
          <w:lang w:val="tr-TR"/>
        </w:rPr>
        <w:t>Bu tespitlerden sonra yargının hukuk devletinin yeniden inşasında ne gibi rol ve sorumluluklar üstelenebileceğine ve bunun yöntemlerine ilişkin tartışmalara da kısaca değinilmelidir.</w:t>
      </w:r>
    </w:p>
    <w:p w14:paraId="3C504D62" w14:textId="77777777" w:rsidR="005C69A3" w:rsidRPr="00247141" w:rsidRDefault="005C69A3" w:rsidP="00377D5E">
      <w:pPr>
        <w:jc w:val="both"/>
        <w:rPr>
          <w:rFonts w:ascii="Times New Roman" w:hAnsi="Times New Roman" w:cs="Times New Roman"/>
          <w:sz w:val="24"/>
          <w:szCs w:val="24"/>
          <w:lang w:val="tr-TR"/>
        </w:rPr>
      </w:pPr>
    </w:p>
    <w:p w14:paraId="3F5E5F6D" w14:textId="25079C67" w:rsidR="00747E3C" w:rsidRPr="00247141" w:rsidRDefault="00747E3C" w:rsidP="00BD1F5C">
      <w:pPr>
        <w:pStyle w:val="ListParagraph"/>
        <w:numPr>
          <w:ilvl w:val="0"/>
          <w:numId w:val="1"/>
        </w:numPr>
        <w:rPr>
          <w:b/>
          <w:bCs/>
          <w:sz w:val="24"/>
          <w:szCs w:val="24"/>
          <w:lang w:val="tr-TR"/>
        </w:rPr>
      </w:pPr>
      <w:r w:rsidRPr="00247141">
        <w:rPr>
          <w:b/>
          <w:bCs/>
          <w:sz w:val="24"/>
          <w:szCs w:val="24"/>
          <w:lang w:val="tr-TR"/>
        </w:rPr>
        <w:t xml:space="preserve">Hukuk Devletinin Yeniden İnşasında </w:t>
      </w:r>
      <w:r w:rsidR="00BD1F5C" w:rsidRPr="00247141">
        <w:rPr>
          <w:b/>
          <w:bCs/>
          <w:sz w:val="24"/>
          <w:szCs w:val="24"/>
          <w:lang w:val="tr-TR"/>
        </w:rPr>
        <w:t>Yargının Rolü</w:t>
      </w:r>
    </w:p>
    <w:p w14:paraId="3007EAD8" w14:textId="602E83B9" w:rsidR="00611898" w:rsidRPr="00247141" w:rsidRDefault="00611898" w:rsidP="00A2220D">
      <w:pPr>
        <w:jc w:val="both"/>
        <w:rPr>
          <w:rFonts w:ascii="Times New Roman" w:hAnsi="Times New Roman" w:cs="Times New Roman"/>
          <w:sz w:val="24"/>
          <w:szCs w:val="24"/>
          <w:lang w:val="tr-TR"/>
        </w:rPr>
      </w:pPr>
      <w:r w:rsidRPr="00247141">
        <w:rPr>
          <w:rFonts w:ascii="Times New Roman" w:hAnsi="Times New Roman" w:cs="Times New Roman"/>
          <w:sz w:val="24"/>
          <w:szCs w:val="24"/>
          <w:lang w:val="tr-TR"/>
        </w:rPr>
        <w:t xml:space="preserve">Yukarıda da </w:t>
      </w:r>
      <w:r w:rsidR="005C69A3" w:rsidRPr="00247141">
        <w:rPr>
          <w:rFonts w:ascii="Times New Roman" w:hAnsi="Times New Roman" w:cs="Times New Roman"/>
          <w:sz w:val="24"/>
          <w:szCs w:val="24"/>
          <w:lang w:val="tr-TR"/>
        </w:rPr>
        <w:t>aktarıldığı</w:t>
      </w:r>
      <w:r w:rsidRPr="00247141">
        <w:rPr>
          <w:rFonts w:ascii="Times New Roman" w:hAnsi="Times New Roman" w:cs="Times New Roman"/>
          <w:sz w:val="24"/>
          <w:szCs w:val="24"/>
          <w:lang w:val="tr-TR"/>
        </w:rPr>
        <w:t xml:space="preserve"> üzere</w:t>
      </w:r>
      <w:r w:rsidR="00841E26" w:rsidRPr="00247141">
        <w:rPr>
          <w:rFonts w:ascii="Times New Roman" w:hAnsi="Times New Roman" w:cs="Times New Roman"/>
          <w:sz w:val="24"/>
          <w:szCs w:val="24"/>
          <w:lang w:val="tr-TR"/>
        </w:rPr>
        <w:t xml:space="preserve"> hukuk devletinin yeniden inşasında özellikle ilk akla gelen kurumlar çoğunluk</w:t>
      </w:r>
      <w:r w:rsidR="00604619" w:rsidRPr="00247141">
        <w:rPr>
          <w:rFonts w:ascii="Times New Roman" w:hAnsi="Times New Roman" w:cs="Times New Roman"/>
          <w:sz w:val="24"/>
          <w:szCs w:val="24"/>
          <w:lang w:val="tr-TR"/>
        </w:rPr>
        <w:t>l</w:t>
      </w:r>
      <w:r w:rsidR="00DF41F2" w:rsidRPr="00247141">
        <w:rPr>
          <w:rFonts w:ascii="Times New Roman" w:hAnsi="Times New Roman" w:cs="Times New Roman"/>
          <w:sz w:val="24"/>
          <w:szCs w:val="24"/>
          <w:lang w:val="tr-TR"/>
        </w:rPr>
        <w:t>a Anayasa M</w:t>
      </w:r>
      <w:r w:rsidR="00841E26" w:rsidRPr="00247141">
        <w:rPr>
          <w:rFonts w:ascii="Times New Roman" w:hAnsi="Times New Roman" w:cs="Times New Roman"/>
          <w:sz w:val="24"/>
          <w:szCs w:val="24"/>
          <w:lang w:val="tr-TR"/>
        </w:rPr>
        <w:t>ahkemeleri başta olmak üzere yüksek mahkemeler olmuştur.</w:t>
      </w:r>
      <w:r w:rsidR="005D1856" w:rsidRPr="00247141">
        <w:rPr>
          <w:rStyle w:val="FootnoteReference"/>
          <w:rFonts w:ascii="Times New Roman" w:hAnsi="Times New Roman" w:cs="Times New Roman"/>
          <w:sz w:val="24"/>
          <w:szCs w:val="24"/>
          <w:lang w:val="tr-TR"/>
        </w:rPr>
        <w:footnoteReference w:id="71"/>
      </w:r>
      <w:r w:rsidR="00B04461" w:rsidRPr="00247141">
        <w:rPr>
          <w:rFonts w:ascii="Times New Roman" w:hAnsi="Times New Roman" w:cs="Times New Roman"/>
          <w:sz w:val="24"/>
          <w:szCs w:val="24"/>
          <w:lang w:val="tr-TR"/>
        </w:rPr>
        <w:t xml:space="preserve"> Mustafa Erdoğan’ın da</w:t>
      </w:r>
      <w:r w:rsidR="00A2220D" w:rsidRPr="00247141">
        <w:rPr>
          <w:rStyle w:val="FootnoteReference"/>
          <w:rFonts w:ascii="Times New Roman" w:hAnsi="Times New Roman" w:cs="Times New Roman"/>
          <w:sz w:val="24"/>
          <w:szCs w:val="24"/>
          <w:lang w:val="tr-TR"/>
        </w:rPr>
        <w:footnoteReference w:id="72"/>
      </w:r>
      <w:r w:rsidR="00B04461" w:rsidRPr="00247141">
        <w:rPr>
          <w:rFonts w:ascii="Times New Roman" w:hAnsi="Times New Roman" w:cs="Times New Roman"/>
          <w:sz w:val="24"/>
          <w:szCs w:val="24"/>
          <w:lang w:val="tr-TR"/>
        </w:rPr>
        <w:t xml:space="preserve"> </w:t>
      </w:r>
      <w:r w:rsidR="00157E81" w:rsidRPr="00247141">
        <w:rPr>
          <w:rFonts w:ascii="Times New Roman" w:hAnsi="Times New Roman" w:cs="Times New Roman"/>
          <w:sz w:val="24"/>
          <w:szCs w:val="24"/>
          <w:lang w:val="tr-TR"/>
        </w:rPr>
        <w:t xml:space="preserve"> belirttiği üzere </w:t>
      </w:r>
      <w:r w:rsidR="00A2220D" w:rsidRPr="00247141">
        <w:rPr>
          <w:rFonts w:ascii="Times New Roman" w:hAnsi="Times New Roman" w:cs="Times New Roman"/>
          <w:sz w:val="24"/>
          <w:szCs w:val="24"/>
          <w:lang w:val="tr-TR"/>
        </w:rPr>
        <w:t>hukuk devleti ve demokratik bir</w:t>
      </w:r>
      <w:r w:rsidR="00A9584A" w:rsidRPr="00247141">
        <w:rPr>
          <w:rFonts w:ascii="Times New Roman" w:hAnsi="Times New Roman" w:cs="Times New Roman"/>
          <w:sz w:val="24"/>
          <w:szCs w:val="24"/>
          <w:lang w:val="tr-TR"/>
        </w:rPr>
        <w:t xml:space="preserve"> siyasal </w:t>
      </w:r>
      <w:r w:rsidR="00DF41F2" w:rsidRPr="00247141">
        <w:rPr>
          <w:rFonts w:ascii="Times New Roman" w:hAnsi="Times New Roman" w:cs="Times New Roman"/>
          <w:sz w:val="24"/>
          <w:szCs w:val="24"/>
          <w:lang w:val="tr-TR"/>
        </w:rPr>
        <w:t xml:space="preserve">sistemin tesisinde </w:t>
      </w:r>
      <w:r w:rsidR="00A9584A" w:rsidRPr="00247141">
        <w:rPr>
          <w:rFonts w:ascii="Times New Roman" w:hAnsi="Times New Roman" w:cs="Times New Roman"/>
          <w:sz w:val="24"/>
          <w:szCs w:val="24"/>
          <w:lang w:val="tr-TR"/>
        </w:rPr>
        <w:t xml:space="preserve">kurumsal yapı hukuki ve siyasi etkileşimle oluşturulur ve </w:t>
      </w:r>
      <w:r w:rsidR="000D09C0" w:rsidRPr="00247141">
        <w:rPr>
          <w:rFonts w:ascii="Times New Roman" w:hAnsi="Times New Roman" w:cs="Times New Roman"/>
          <w:sz w:val="24"/>
          <w:szCs w:val="24"/>
          <w:lang w:val="tr-TR"/>
        </w:rPr>
        <w:t xml:space="preserve"> demokrasinin kurucuları olarak  anayasal evrimi sağlayan </w:t>
      </w:r>
      <w:r w:rsidR="00DF41F2" w:rsidRPr="00247141">
        <w:rPr>
          <w:rFonts w:ascii="Times New Roman" w:hAnsi="Times New Roman" w:cs="Times New Roman"/>
          <w:sz w:val="24"/>
          <w:szCs w:val="24"/>
          <w:lang w:val="tr-TR"/>
        </w:rPr>
        <w:t xml:space="preserve">ana aktör de çoğunlukla </w:t>
      </w:r>
      <w:r w:rsidR="00E2528A" w:rsidRPr="00247141">
        <w:rPr>
          <w:rFonts w:ascii="Times New Roman" w:hAnsi="Times New Roman" w:cs="Times New Roman"/>
          <w:sz w:val="24"/>
          <w:szCs w:val="24"/>
          <w:lang w:val="tr-TR"/>
        </w:rPr>
        <w:t>a</w:t>
      </w:r>
      <w:r w:rsidR="00DF41F2" w:rsidRPr="00247141">
        <w:rPr>
          <w:rFonts w:ascii="Times New Roman" w:hAnsi="Times New Roman" w:cs="Times New Roman"/>
          <w:sz w:val="24"/>
          <w:szCs w:val="24"/>
          <w:lang w:val="tr-TR"/>
        </w:rPr>
        <w:t xml:space="preserve">nayasa </w:t>
      </w:r>
      <w:r w:rsidR="00E2528A" w:rsidRPr="00247141">
        <w:rPr>
          <w:rFonts w:ascii="Times New Roman" w:hAnsi="Times New Roman" w:cs="Times New Roman"/>
          <w:sz w:val="24"/>
          <w:szCs w:val="24"/>
          <w:lang w:val="tr-TR"/>
        </w:rPr>
        <w:t>m</w:t>
      </w:r>
      <w:r w:rsidR="00621D93" w:rsidRPr="00247141">
        <w:rPr>
          <w:rFonts w:ascii="Times New Roman" w:hAnsi="Times New Roman" w:cs="Times New Roman"/>
          <w:sz w:val="24"/>
          <w:szCs w:val="24"/>
          <w:lang w:val="tr-TR"/>
        </w:rPr>
        <w:t xml:space="preserve">ahkemeleri olur. Bu nedenledir ki </w:t>
      </w:r>
      <w:r w:rsidR="00E702E0" w:rsidRPr="00247141">
        <w:rPr>
          <w:rFonts w:ascii="Times New Roman" w:hAnsi="Times New Roman" w:cs="Times New Roman"/>
          <w:sz w:val="24"/>
          <w:szCs w:val="24"/>
          <w:lang w:val="tr-TR"/>
        </w:rPr>
        <w:t xml:space="preserve">özellikle Varşova Paktı’nın yıkılmasından sonra </w:t>
      </w:r>
      <w:r w:rsidR="008759BC" w:rsidRPr="00247141">
        <w:rPr>
          <w:rFonts w:ascii="Times New Roman" w:hAnsi="Times New Roman" w:cs="Times New Roman"/>
          <w:sz w:val="24"/>
          <w:szCs w:val="24"/>
          <w:lang w:val="tr-TR"/>
        </w:rPr>
        <w:t xml:space="preserve">Macaristan, Polonya , Çekya gibi ülkelerde </w:t>
      </w:r>
      <w:r w:rsidR="00DF41F2" w:rsidRPr="00247141">
        <w:rPr>
          <w:rFonts w:ascii="Times New Roman" w:hAnsi="Times New Roman" w:cs="Times New Roman"/>
          <w:sz w:val="24"/>
          <w:szCs w:val="24"/>
          <w:lang w:val="tr-TR"/>
        </w:rPr>
        <w:t xml:space="preserve">Anayasa Mahkemeleri </w:t>
      </w:r>
      <w:r w:rsidR="008759BC" w:rsidRPr="00247141">
        <w:rPr>
          <w:rFonts w:ascii="Times New Roman" w:hAnsi="Times New Roman" w:cs="Times New Roman"/>
          <w:sz w:val="24"/>
          <w:szCs w:val="24"/>
          <w:lang w:val="tr-TR"/>
        </w:rPr>
        <w:t>adeta “yargısal bir demokrasinin”</w:t>
      </w:r>
      <w:r w:rsidR="008759BC" w:rsidRPr="00247141">
        <w:rPr>
          <w:rStyle w:val="FootnoteReference"/>
          <w:rFonts w:ascii="Times New Roman" w:hAnsi="Times New Roman" w:cs="Times New Roman"/>
          <w:sz w:val="24"/>
          <w:szCs w:val="24"/>
          <w:lang w:val="tr-TR"/>
        </w:rPr>
        <w:footnoteReference w:id="73"/>
      </w:r>
      <w:r w:rsidR="008759BC" w:rsidRPr="00247141">
        <w:rPr>
          <w:rFonts w:ascii="Times New Roman" w:hAnsi="Times New Roman" w:cs="Times New Roman"/>
          <w:sz w:val="24"/>
          <w:szCs w:val="24"/>
          <w:lang w:val="tr-TR"/>
        </w:rPr>
        <w:t xml:space="preserve"> kurulmasını sağlamışlardır.</w:t>
      </w:r>
      <w:r w:rsidR="00043D6F" w:rsidRPr="00247141">
        <w:rPr>
          <w:rFonts w:ascii="Times New Roman" w:hAnsi="Times New Roman" w:cs="Times New Roman"/>
          <w:sz w:val="24"/>
          <w:szCs w:val="24"/>
          <w:lang w:val="tr-TR"/>
        </w:rPr>
        <w:t xml:space="preserve"> Ancak </w:t>
      </w:r>
      <w:r w:rsidR="003E70BE" w:rsidRPr="00247141">
        <w:rPr>
          <w:rFonts w:ascii="Times New Roman" w:hAnsi="Times New Roman" w:cs="Times New Roman"/>
          <w:sz w:val="24"/>
          <w:szCs w:val="24"/>
          <w:lang w:val="tr-TR"/>
        </w:rPr>
        <w:t>yar</w:t>
      </w:r>
      <w:r w:rsidR="00DF41F2" w:rsidRPr="00247141">
        <w:rPr>
          <w:rFonts w:ascii="Times New Roman" w:hAnsi="Times New Roman" w:cs="Times New Roman"/>
          <w:sz w:val="24"/>
          <w:szCs w:val="24"/>
          <w:lang w:val="tr-TR"/>
        </w:rPr>
        <w:t xml:space="preserve">gının bu </w:t>
      </w:r>
      <w:r w:rsidR="003465D0" w:rsidRPr="00247141">
        <w:rPr>
          <w:rFonts w:ascii="Times New Roman" w:hAnsi="Times New Roman" w:cs="Times New Roman"/>
          <w:sz w:val="24"/>
          <w:szCs w:val="24"/>
          <w:lang w:val="tr-TR"/>
        </w:rPr>
        <w:t>aktif</w:t>
      </w:r>
      <w:r w:rsidR="00DF41F2" w:rsidRPr="00247141">
        <w:rPr>
          <w:rFonts w:ascii="Times New Roman" w:hAnsi="Times New Roman" w:cs="Times New Roman"/>
          <w:sz w:val="24"/>
          <w:szCs w:val="24"/>
          <w:lang w:val="tr-TR"/>
        </w:rPr>
        <w:t xml:space="preserve"> durumunun da birtakım sakıncaları </w:t>
      </w:r>
      <w:r w:rsidR="003E70BE" w:rsidRPr="00247141">
        <w:rPr>
          <w:rFonts w:ascii="Times New Roman" w:hAnsi="Times New Roman" w:cs="Times New Roman"/>
          <w:sz w:val="24"/>
          <w:szCs w:val="24"/>
          <w:lang w:val="tr-TR"/>
        </w:rPr>
        <w:t xml:space="preserve">yok değildir: Özellikle </w:t>
      </w:r>
      <w:r w:rsidR="005F58E1" w:rsidRPr="00247141">
        <w:rPr>
          <w:rFonts w:ascii="Times New Roman" w:hAnsi="Times New Roman" w:cs="Times New Roman"/>
          <w:sz w:val="24"/>
          <w:szCs w:val="24"/>
          <w:lang w:val="tr-TR"/>
        </w:rPr>
        <w:t>popülist hareketlerce</w:t>
      </w:r>
      <w:r w:rsidR="00E63FA8" w:rsidRPr="00247141">
        <w:rPr>
          <w:rStyle w:val="FootnoteReference"/>
          <w:rFonts w:ascii="Times New Roman" w:hAnsi="Times New Roman" w:cs="Times New Roman"/>
          <w:sz w:val="24"/>
          <w:szCs w:val="24"/>
          <w:lang w:val="tr-TR"/>
        </w:rPr>
        <w:footnoteReference w:id="74"/>
      </w:r>
      <w:r w:rsidR="005F58E1" w:rsidRPr="00247141">
        <w:rPr>
          <w:rFonts w:ascii="Times New Roman" w:hAnsi="Times New Roman" w:cs="Times New Roman"/>
          <w:sz w:val="24"/>
          <w:szCs w:val="24"/>
          <w:lang w:val="tr-TR"/>
        </w:rPr>
        <w:t xml:space="preserve"> </w:t>
      </w:r>
      <w:r w:rsidR="00B263D3" w:rsidRPr="00247141">
        <w:rPr>
          <w:rFonts w:ascii="Times New Roman" w:hAnsi="Times New Roman" w:cs="Times New Roman"/>
          <w:sz w:val="24"/>
          <w:szCs w:val="24"/>
          <w:lang w:val="tr-TR"/>
        </w:rPr>
        <w:t xml:space="preserve">birtakım siyasal/sosyal sorunların </w:t>
      </w:r>
      <w:r w:rsidR="005F58E1" w:rsidRPr="00247141">
        <w:rPr>
          <w:rFonts w:ascii="Times New Roman" w:hAnsi="Times New Roman" w:cs="Times New Roman"/>
          <w:sz w:val="24"/>
          <w:szCs w:val="24"/>
          <w:lang w:val="tr-TR"/>
        </w:rPr>
        <w:t>kaynağı</w:t>
      </w:r>
      <w:r w:rsidR="00B5416C" w:rsidRPr="00247141">
        <w:rPr>
          <w:rFonts w:ascii="Times New Roman" w:hAnsi="Times New Roman" w:cs="Times New Roman"/>
          <w:sz w:val="24"/>
          <w:szCs w:val="24"/>
          <w:lang w:val="tr-TR"/>
        </w:rPr>
        <w:t xml:space="preserve"> olarak</w:t>
      </w:r>
      <w:r w:rsidR="005F58E1" w:rsidRPr="00247141">
        <w:rPr>
          <w:rFonts w:ascii="Times New Roman" w:hAnsi="Times New Roman" w:cs="Times New Roman"/>
          <w:sz w:val="24"/>
          <w:szCs w:val="24"/>
          <w:lang w:val="tr-TR"/>
        </w:rPr>
        <w:t xml:space="preserve"> yargının “günah keçisi” ilan edilmesi ve </w:t>
      </w:r>
      <w:r w:rsidR="00776F67" w:rsidRPr="00247141">
        <w:rPr>
          <w:rFonts w:ascii="Times New Roman" w:hAnsi="Times New Roman" w:cs="Times New Roman"/>
          <w:sz w:val="24"/>
          <w:szCs w:val="24"/>
          <w:lang w:val="tr-TR"/>
        </w:rPr>
        <w:t>bunu da takiben mahkemelerin ya</w:t>
      </w:r>
      <w:r w:rsidR="00B5416C" w:rsidRPr="00247141">
        <w:rPr>
          <w:rFonts w:ascii="Times New Roman" w:hAnsi="Times New Roman" w:cs="Times New Roman"/>
          <w:sz w:val="24"/>
          <w:szCs w:val="24"/>
          <w:lang w:val="tr-TR"/>
        </w:rPr>
        <w:t xml:space="preserve">pısının değiştirilmesi yönünde siyasal atakların izlemesi; </w:t>
      </w:r>
      <w:r w:rsidR="00776F67" w:rsidRPr="00247141">
        <w:rPr>
          <w:rFonts w:ascii="Times New Roman" w:hAnsi="Times New Roman" w:cs="Times New Roman"/>
          <w:sz w:val="24"/>
          <w:szCs w:val="24"/>
          <w:lang w:val="tr-TR"/>
        </w:rPr>
        <w:t xml:space="preserve"> yargının tam olarak ne öl</w:t>
      </w:r>
      <w:r w:rsidR="009D2A8A" w:rsidRPr="00247141">
        <w:rPr>
          <w:rFonts w:ascii="Times New Roman" w:hAnsi="Times New Roman" w:cs="Times New Roman"/>
          <w:sz w:val="24"/>
          <w:szCs w:val="24"/>
          <w:lang w:val="tr-TR"/>
        </w:rPr>
        <w:t>çüde siyasi tartışmaların tarafı olacağı sorununu bir kez daha düşünmeyi gerektirmiştir. Bu noktada akla</w:t>
      </w:r>
      <w:r w:rsidR="00B5416C" w:rsidRPr="00247141">
        <w:rPr>
          <w:rFonts w:ascii="Times New Roman" w:hAnsi="Times New Roman" w:cs="Times New Roman"/>
          <w:sz w:val="24"/>
          <w:szCs w:val="24"/>
          <w:lang w:val="tr-TR"/>
        </w:rPr>
        <w:t xml:space="preserve"> bir defa daha</w:t>
      </w:r>
      <w:r w:rsidR="009D2A8A" w:rsidRPr="00247141">
        <w:rPr>
          <w:rFonts w:ascii="Times New Roman" w:hAnsi="Times New Roman" w:cs="Times New Roman"/>
          <w:sz w:val="24"/>
          <w:szCs w:val="24"/>
          <w:lang w:val="tr-TR"/>
        </w:rPr>
        <w:t xml:space="preserve"> gelen ise acaba yargının diğer bir kanadının tekrar hukuk devletinin ortadan kaldırıldığı dönemdeki </w:t>
      </w:r>
      <w:r w:rsidR="000A6A20" w:rsidRPr="00247141">
        <w:rPr>
          <w:rFonts w:ascii="Times New Roman" w:hAnsi="Times New Roman" w:cs="Times New Roman"/>
          <w:sz w:val="24"/>
          <w:szCs w:val="24"/>
          <w:lang w:val="tr-TR"/>
        </w:rPr>
        <w:t xml:space="preserve">tavrını takınmasına karşı tedbir olarak nelerin yapılması </w:t>
      </w:r>
      <w:r w:rsidR="00B5416C" w:rsidRPr="00247141">
        <w:rPr>
          <w:rFonts w:ascii="Times New Roman" w:hAnsi="Times New Roman" w:cs="Times New Roman"/>
          <w:sz w:val="24"/>
          <w:szCs w:val="24"/>
          <w:lang w:val="tr-TR"/>
        </w:rPr>
        <w:t>gerektiğidir</w:t>
      </w:r>
      <w:r w:rsidR="000A6A20" w:rsidRPr="00247141">
        <w:rPr>
          <w:rFonts w:ascii="Times New Roman" w:hAnsi="Times New Roman" w:cs="Times New Roman"/>
          <w:sz w:val="24"/>
          <w:szCs w:val="24"/>
          <w:lang w:val="tr-TR"/>
        </w:rPr>
        <w:t>. Bu noktada iki otoriter rejim atlatmış olan Almanya deneyiminde</w:t>
      </w:r>
      <w:r w:rsidR="00B5416C" w:rsidRPr="00247141">
        <w:rPr>
          <w:rFonts w:ascii="Times New Roman" w:hAnsi="Times New Roman" w:cs="Times New Roman"/>
          <w:sz w:val="24"/>
          <w:szCs w:val="24"/>
          <w:lang w:val="tr-TR"/>
        </w:rPr>
        <w:t>,</w:t>
      </w:r>
      <w:r w:rsidR="000A6A20" w:rsidRPr="00247141">
        <w:rPr>
          <w:rFonts w:ascii="Times New Roman" w:hAnsi="Times New Roman" w:cs="Times New Roman"/>
          <w:sz w:val="24"/>
          <w:szCs w:val="24"/>
          <w:lang w:val="tr-TR"/>
        </w:rPr>
        <w:t xml:space="preserve"> </w:t>
      </w:r>
      <w:r w:rsidR="00664A94" w:rsidRPr="00247141">
        <w:rPr>
          <w:rFonts w:ascii="Times New Roman" w:hAnsi="Times New Roman" w:cs="Times New Roman"/>
          <w:sz w:val="24"/>
          <w:szCs w:val="24"/>
          <w:lang w:val="tr-TR"/>
        </w:rPr>
        <w:t xml:space="preserve">yakın anayasa tarihinde </w:t>
      </w:r>
      <w:r w:rsidR="000A6A20" w:rsidRPr="00247141">
        <w:rPr>
          <w:rFonts w:ascii="Times New Roman" w:hAnsi="Times New Roman" w:cs="Times New Roman"/>
          <w:sz w:val="24"/>
          <w:szCs w:val="24"/>
          <w:lang w:val="tr-TR"/>
        </w:rPr>
        <w:t xml:space="preserve">bazı radikal idari ve cezai tedbirlerin </w:t>
      </w:r>
      <w:r w:rsidR="00EF276C" w:rsidRPr="00247141">
        <w:rPr>
          <w:rFonts w:ascii="Times New Roman" w:hAnsi="Times New Roman" w:cs="Times New Roman"/>
          <w:sz w:val="24"/>
          <w:szCs w:val="24"/>
          <w:lang w:val="tr-TR"/>
        </w:rPr>
        <w:t>gündeme geldiği gözlenmektedir. Aşağıda kısaca bunlara değinilecektir.</w:t>
      </w:r>
    </w:p>
    <w:p w14:paraId="609BC6CD" w14:textId="6E0AE052" w:rsidR="00684291" w:rsidRPr="00247141" w:rsidRDefault="00D30B8E" w:rsidP="00A2220D">
      <w:pPr>
        <w:jc w:val="both"/>
        <w:rPr>
          <w:rFonts w:ascii="Times New Roman" w:hAnsi="Times New Roman" w:cs="Times New Roman"/>
          <w:sz w:val="24"/>
          <w:szCs w:val="24"/>
          <w:lang w:val="tr-TR"/>
        </w:rPr>
      </w:pPr>
      <w:r w:rsidRPr="00247141">
        <w:rPr>
          <w:rFonts w:ascii="Times New Roman" w:hAnsi="Times New Roman" w:cs="Times New Roman"/>
          <w:sz w:val="24"/>
          <w:szCs w:val="24"/>
          <w:lang w:val="tr-TR"/>
        </w:rPr>
        <w:t xml:space="preserve">Hukuk devletinin yeniden </w:t>
      </w:r>
      <w:r w:rsidR="00AE73D3" w:rsidRPr="00247141">
        <w:rPr>
          <w:rFonts w:ascii="Times New Roman" w:hAnsi="Times New Roman" w:cs="Times New Roman"/>
          <w:sz w:val="24"/>
          <w:szCs w:val="24"/>
          <w:lang w:val="tr-TR"/>
        </w:rPr>
        <w:t xml:space="preserve">inşası sırasında öncelikle II. Dünya Savaşı sonrasında Federal Almanya’da </w:t>
      </w:r>
      <w:r w:rsidR="00F354A4" w:rsidRPr="00247141">
        <w:rPr>
          <w:rFonts w:ascii="Times New Roman" w:hAnsi="Times New Roman" w:cs="Times New Roman"/>
          <w:sz w:val="24"/>
          <w:szCs w:val="24"/>
          <w:lang w:val="tr-TR"/>
        </w:rPr>
        <w:t xml:space="preserve"> tüm yargıçların görevine son verilmiş</w:t>
      </w:r>
      <w:r w:rsidR="00650F54" w:rsidRPr="00247141">
        <w:rPr>
          <w:rFonts w:ascii="Times New Roman" w:hAnsi="Times New Roman" w:cs="Times New Roman"/>
          <w:sz w:val="24"/>
          <w:szCs w:val="24"/>
          <w:lang w:val="tr-TR"/>
        </w:rPr>
        <w:t>;</w:t>
      </w:r>
      <w:r w:rsidR="00F354A4" w:rsidRPr="00247141">
        <w:rPr>
          <w:rFonts w:ascii="Times New Roman" w:hAnsi="Times New Roman" w:cs="Times New Roman"/>
          <w:sz w:val="24"/>
          <w:szCs w:val="24"/>
          <w:lang w:val="tr-TR"/>
        </w:rPr>
        <w:t xml:space="preserve"> ancak bunu hemen daha sonra onların büyük bir kısmının tekrar işe alınması(</w:t>
      </w:r>
      <w:r w:rsidR="00F354A4" w:rsidRPr="00247141">
        <w:rPr>
          <w:rFonts w:ascii="Times New Roman" w:hAnsi="Times New Roman" w:cs="Times New Roman"/>
          <w:i/>
          <w:iCs/>
          <w:sz w:val="24"/>
          <w:szCs w:val="24"/>
          <w:lang w:val="tr-TR"/>
        </w:rPr>
        <w:t>Wieder</w:t>
      </w:r>
      <w:r w:rsidR="006365B8" w:rsidRPr="00247141">
        <w:rPr>
          <w:rFonts w:ascii="Times New Roman" w:hAnsi="Times New Roman" w:cs="Times New Roman"/>
          <w:i/>
          <w:iCs/>
          <w:sz w:val="24"/>
          <w:szCs w:val="24"/>
          <w:lang w:val="tr-TR"/>
        </w:rPr>
        <w:t>einstellung</w:t>
      </w:r>
      <w:r w:rsidR="006365B8" w:rsidRPr="00247141">
        <w:rPr>
          <w:rFonts w:ascii="Times New Roman" w:hAnsi="Times New Roman" w:cs="Times New Roman"/>
          <w:sz w:val="24"/>
          <w:szCs w:val="24"/>
          <w:lang w:val="tr-TR"/>
        </w:rPr>
        <w:t>)</w:t>
      </w:r>
      <w:r w:rsidR="00F354A4" w:rsidRPr="00247141">
        <w:rPr>
          <w:rFonts w:ascii="Times New Roman" w:hAnsi="Times New Roman" w:cs="Times New Roman"/>
          <w:sz w:val="24"/>
          <w:szCs w:val="24"/>
          <w:lang w:val="tr-TR"/>
        </w:rPr>
        <w:t xml:space="preserve"> izlemiştir</w:t>
      </w:r>
      <w:r w:rsidR="00650F54" w:rsidRPr="00247141">
        <w:rPr>
          <w:rFonts w:ascii="Times New Roman" w:hAnsi="Times New Roman" w:cs="Times New Roman"/>
          <w:sz w:val="24"/>
          <w:szCs w:val="24"/>
          <w:lang w:val="tr-TR"/>
        </w:rPr>
        <w:t>. Bu</w:t>
      </w:r>
      <w:r w:rsidR="001C48A0" w:rsidRPr="00247141">
        <w:rPr>
          <w:rFonts w:ascii="Times New Roman" w:hAnsi="Times New Roman" w:cs="Times New Roman"/>
          <w:sz w:val="24"/>
          <w:szCs w:val="24"/>
          <w:lang w:val="tr-TR"/>
        </w:rPr>
        <w:t xml:space="preserve"> ise</w:t>
      </w:r>
      <w:r w:rsidR="00930B9C" w:rsidRPr="00247141">
        <w:rPr>
          <w:rFonts w:ascii="Times New Roman" w:hAnsi="Times New Roman" w:cs="Times New Roman"/>
          <w:sz w:val="24"/>
          <w:szCs w:val="24"/>
          <w:lang w:val="tr-TR"/>
        </w:rPr>
        <w:t xml:space="preserve"> o dönem iş yükü ve yetişmiş personel eksikliği ile açıklanmıştır.</w:t>
      </w:r>
      <w:r w:rsidR="00930B9C" w:rsidRPr="00247141">
        <w:rPr>
          <w:rStyle w:val="FootnoteReference"/>
          <w:rFonts w:ascii="Times New Roman" w:hAnsi="Times New Roman" w:cs="Times New Roman"/>
          <w:sz w:val="24"/>
          <w:szCs w:val="24"/>
          <w:lang w:val="tr-TR"/>
        </w:rPr>
        <w:footnoteReference w:id="75"/>
      </w:r>
      <w:r w:rsidR="00F94CE0" w:rsidRPr="00247141">
        <w:rPr>
          <w:rFonts w:ascii="Times New Roman" w:hAnsi="Times New Roman" w:cs="Times New Roman"/>
          <w:sz w:val="24"/>
          <w:szCs w:val="24"/>
          <w:lang w:val="tr-TR"/>
        </w:rPr>
        <w:t xml:space="preserve"> Oysaki iki Almanya’nın birleşmesinin</w:t>
      </w:r>
      <w:r w:rsidR="00FA7318" w:rsidRPr="00247141">
        <w:rPr>
          <w:rFonts w:ascii="Times New Roman" w:hAnsi="Times New Roman" w:cs="Times New Roman"/>
          <w:sz w:val="24"/>
          <w:szCs w:val="24"/>
          <w:lang w:val="tr-TR"/>
        </w:rPr>
        <w:t>(</w:t>
      </w:r>
      <w:r w:rsidR="00FA7318" w:rsidRPr="00247141">
        <w:rPr>
          <w:rFonts w:ascii="Times New Roman" w:hAnsi="Times New Roman" w:cs="Times New Roman"/>
          <w:i/>
          <w:iCs/>
          <w:sz w:val="24"/>
          <w:szCs w:val="24"/>
          <w:lang w:val="tr-TR"/>
        </w:rPr>
        <w:t>Wiedervereinigung</w:t>
      </w:r>
      <w:r w:rsidR="00FA7318" w:rsidRPr="00247141">
        <w:rPr>
          <w:rFonts w:ascii="Times New Roman" w:hAnsi="Times New Roman" w:cs="Times New Roman"/>
          <w:sz w:val="24"/>
          <w:szCs w:val="24"/>
          <w:lang w:val="tr-TR"/>
        </w:rPr>
        <w:t>)</w:t>
      </w:r>
      <w:r w:rsidR="00F94CE0" w:rsidRPr="00247141">
        <w:rPr>
          <w:rFonts w:ascii="Times New Roman" w:hAnsi="Times New Roman" w:cs="Times New Roman"/>
          <w:sz w:val="24"/>
          <w:szCs w:val="24"/>
          <w:lang w:val="tr-TR"/>
        </w:rPr>
        <w:t xml:space="preserve"> ardından ise </w:t>
      </w:r>
      <w:r w:rsidR="00FA7318" w:rsidRPr="00247141">
        <w:rPr>
          <w:rFonts w:ascii="Times New Roman" w:hAnsi="Times New Roman" w:cs="Times New Roman"/>
          <w:sz w:val="24"/>
          <w:szCs w:val="24"/>
          <w:lang w:val="tr-TR"/>
        </w:rPr>
        <w:t>kamu görevinde bulunanlardan</w:t>
      </w:r>
      <w:r w:rsidR="00F94CE0" w:rsidRPr="00247141">
        <w:rPr>
          <w:rFonts w:ascii="Times New Roman" w:hAnsi="Times New Roman" w:cs="Times New Roman"/>
          <w:sz w:val="24"/>
          <w:szCs w:val="24"/>
          <w:lang w:val="tr-TR"/>
        </w:rPr>
        <w:t xml:space="preserve"> sadece yargıçlar</w:t>
      </w:r>
      <w:r w:rsidR="00B5416C" w:rsidRPr="00247141">
        <w:rPr>
          <w:rFonts w:ascii="Times New Roman" w:hAnsi="Times New Roman" w:cs="Times New Roman"/>
          <w:sz w:val="24"/>
          <w:szCs w:val="24"/>
          <w:lang w:val="tr-TR"/>
        </w:rPr>
        <w:t>ın</w:t>
      </w:r>
      <w:r w:rsidR="00F94CE0" w:rsidRPr="00247141">
        <w:rPr>
          <w:rFonts w:ascii="Times New Roman" w:hAnsi="Times New Roman" w:cs="Times New Roman"/>
          <w:sz w:val="24"/>
          <w:szCs w:val="24"/>
          <w:lang w:val="tr-TR"/>
        </w:rPr>
        <w:t xml:space="preserve"> görevlerine devam ettirilm</w:t>
      </w:r>
      <w:r w:rsidR="00041BF7" w:rsidRPr="00247141">
        <w:rPr>
          <w:rFonts w:ascii="Times New Roman" w:hAnsi="Times New Roman" w:cs="Times New Roman"/>
          <w:sz w:val="24"/>
          <w:szCs w:val="24"/>
          <w:lang w:val="tr-TR"/>
        </w:rPr>
        <w:t>esi ana ilke olarak ortaya konmuş</w:t>
      </w:r>
      <w:r w:rsidR="003465D0" w:rsidRPr="00247141">
        <w:rPr>
          <w:rFonts w:ascii="Times New Roman" w:hAnsi="Times New Roman" w:cs="Times New Roman"/>
          <w:sz w:val="24"/>
          <w:szCs w:val="24"/>
          <w:lang w:val="tr-TR"/>
        </w:rPr>
        <w:t>;</w:t>
      </w:r>
      <w:r w:rsidR="00041BF7" w:rsidRPr="00247141">
        <w:rPr>
          <w:rFonts w:ascii="Times New Roman" w:hAnsi="Times New Roman" w:cs="Times New Roman"/>
          <w:sz w:val="24"/>
          <w:szCs w:val="24"/>
          <w:lang w:val="tr-TR"/>
        </w:rPr>
        <w:t xml:space="preserve"> bu da </w:t>
      </w:r>
      <w:r w:rsidR="002A450C" w:rsidRPr="00247141">
        <w:rPr>
          <w:rFonts w:ascii="Times New Roman" w:hAnsi="Times New Roman" w:cs="Times New Roman"/>
          <w:sz w:val="24"/>
          <w:szCs w:val="24"/>
          <w:lang w:val="tr-TR"/>
        </w:rPr>
        <w:t>40 senede edindiği itibar ve yargı bağımsızlığına verilen önemle açıklanmıştır.</w:t>
      </w:r>
      <w:r w:rsidR="002A450C" w:rsidRPr="00247141">
        <w:rPr>
          <w:rStyle w:val="FootnoteReference"/>
          <w:rFonts w:ascii="Times New Roman" w:hAnsi="Times New Roman" w:cs="Times New Roman"/>
          <w:sz w:val="24"/>
          <w:szCs w:val="24"/>
          <w:lang w:val="tr-TR"/>
        </w:rPr>
        <w:footnoteReference w:id="76"/>
      </w:r>
      <w:r w:rsidR="002F7BBD" w:rsidRPr="00247141">
        <w:rPr>
          <w:rFonts w:ascii="Times New Roman" w:hAnsi="Times New Roman" w:cs="Times New Roman"/>
          <w:sz w:val="24"/>
          <w:szCs w:val="24"/>
          <w:lang w:val="tr-TR"/>
        </w:rPr>
        <w:t xml:space="preserve"> Ancak belirtmek gerekir ki bu durum hiçbir şekilde </w:t>
      </w:r>
      <w:r w:rsidR="00CD7E38" w:rsidRPr="00247141">
        <w:rPr>
          <w:rFonts w:ascii="Times New Roman" w:hAnsi="Times New Roman" w:cs="Times New Roman"/>
          <w:sz w:val="24"/>
          <w:szCs w:val="24"/>
          <w:lang w:val="tr-TR"/>
        </w:rPr>
        <w:t>yargıçların vermiş oldukları kararlar sebebiyle görevlerine son verilmediği anlamına gelmemekte</w:t>
      </w:r>
      <w:r w:rsidR="00B5416C" w:rsidRPr="00247141">
        <w:rPr>
          <w:rFonts w:ascii="Times New Roman" w:hAnsi="Times New Roman" w:cs="Times New Roman"/>
          <w:sz w:val="24"/>
          <w:szCs w:val="24"/>
          <w:lang w:val="tr-TR"/>
        </w:rPr>
        <w:t>dir;</w:t>
      </w:r>
      <w:r w:rsidR="00CD7E38" w:rsidRPr="00247141">
        <w:rPr>
          <w:rFonts w:ascii="Times New Roman" w:hAnsi="Times New Roman" w:cs="Times New Roman"/>
          <w:sz w:val="24"/>
          <w:szCs w:val="24"/>
          <w:lang w:val="tr-TR"/>
        </w:rPr>
        <w:t xml:space="preserve"> tam ak</w:t>
      </w:r>
      <w:r w:rsidR="00B5416C" w:rsidRPr="00247141">
        <w:rPr>
          <w:rFonts w:ascii="Times New Roman" w:hAnsi="Times New Roman" w:cs="Times New Roman"/>
          <w:sz w:val="24"/>
          <w:szCs w:val="24"/>
          <w:lang w:val="tr-TR"/>
        </w:rPr>
        <w:t xml:space="preserve">si yeniden birleşme sonrasında </w:t>
      </w:r>
      <w:r w:rsidR="00A1584D" w:rsidRPr="00247141">
        <w:rPr>
          <w:rFonts w:ascii="Times New Roman" w:hAnsi="Times New Roman" w:cs="Times New Roman"/>
          <w:sz w:val="24"/>
          <w:szCs w:val="24"/>
          <w:lang w:val="tr-TR"/>
        </w:rPr>
        <w:t xml:space="preserve">eski DDR </w:t>
      </w:r>
      <w:r w:rsidR="00CD7E38" w:rsidRPr="00247141">
        <w:rPr>
          <w:rFonts w:ascii="Times New Roman" w:hAnsi="Times New Roman" w:cs="Times New Roman"/>
          <w:sz w:val="24"/>
          <w:szCs w:val="24"/>
          <w:lang w:val="tr-TR"/>
        </w:rPr>
        <w:t>yargıçlar</w:t>
      </w:r>
      <w:r w:rsidR="00A1584D" w:rsidRPr="00247141">
        <w:rPr>
          <w:rFonts w:ascii="Times New Roman" w:hAnsi="Times New Roman" w:cs="Times New Roman"/>
          <w:sz w:val="24"/>
          <w:szCs w:val="24"/>
          <w:lang w:val="tr-TR"/>
        </w:rPr>
        <w:t>ının tamamına bir form imzalatılmakta</w:t>
      </w:r>
      <w:r w:rsidR="00B5416C" w:rsidRPr="00247141">
        <w:rPr>
          <w:rFonts w:ascii="Times New Roman" w:hAnsi="Times New Roman" w:cs="Times New Roman"/>
          <w:sz w:val="24"/>
          <w:szCs w:val="24"/>
          <w:lang w:val="tr-TR"/>
        </w:rPr>
        <w:t>ydı</w:t>
      </w:r>
      <w:r w:rsidR="00A1584D" w:rsidRPr="00247141">
        <w:rPr>
          <w:rFonts w:ascii="Times New Roman" w:hAnsi="Times New Roman" w:cs="Times New Roman"/>
          <w:sz w:val="24"/>
          <w:szCs w:val="24"/>
          <w:lang w:val="tr-TR"/>
        </w:rPr>
        <w:t xml:space="preserve"> ve </w:t>
      </w:r>
      <w:r w:rsidR="00B5416C" w:rsidRPr="00247141">
        <w:rPr>
          <w:rFonts w:ascii="Times New Roman" w:hAnsi="Times New Roman" w:cs="Times New Roman"/>
          <w:sz w:val="24"/>
          <w:szCs w:val="24"/>
          <w:lang w:val="tr-TR"/>
        </w:rPr>
        <w:t xml:space="preserve">yargıçlar </w:t>
      </w:r>
      <w:r w:rsidR="00A1584D" w:rsidRPr="00247141">
        <w:rPr>
          <w:rFonts w:ascii="Times New Roman" w:hAnsi="Times New Roman" w:cs="Times New Roman"/>
          <w:sz w:val="24"/>
          <w:szCs w:val="24"/>
          <w:lang w:val="tr-TR"/>
        </w:rPr>
        <w:t xml:space="preserve">bu form ile kendilerine sorulan sorular kapsamında DDR ve onun benimsediği totaliter rejimle bağlarının koptuğunu, hukuk devleti ilkesine uyum sağladıklarını ortaya koymak durumundaydılar. Bu formun bir başka yansıması ise </w:t>
      </w:r>
      <w:r w:rsidR="00D76B93" w:rsidRPr="00247141">
        <w:rPr>
          <w:rFonts w:ascii="Times New Roman" w:hAnsi="Times New Roman" w:cs="Times New Roman"/>
          <w:sz w:val="24"/>
          <w:szCs w:val="24"/>
          <w:lang w:val="tr-TR"/>
        </w:rPr>
        <w:t>yargıçların bu dönemde verdikleri kararların incelenmesine bu form ile  rıza göstermiş olmalarıydı.</w:t>
      </w:r>
      <w:r w:rsidR="00500458" w:rsidRPr="00247141">
        <w:rPr>
          <w:rStyle w:val="FootnoteReference"/>
          <w:rFonts w:ascii="Times New Roman" w:hAnsi="Times New Roman" w:cs="Times New Roman"/>
          <w:sz w:val="24"/>
          <w:szCs w:val="24"/>
          <w:lang w:val="tr-TR"/>
        </w:rPr>
        <w:footnoteReference w:id="77"/>
      </w:r>
      <w:r w:rsidR="00684291" w:rsidRPr="00247141">
        <w:rPr>
          <w:rFonts w:ascii="Times New Roman" w:hAnsi="Times New Roman" w:cs="Times New Roman"/>
          <w:sz w:val="24"/>
          <w:szCs w:val="24"/>
          <w:lang w:val="tr-TR"/>
        </w:rPr>
        <w:t xml:space="preserve"> </w:t>
      </w:r>
      <w:r w:rsidR="003465D0" w:rsidRPr="00247141">
        <w:rPr>
          <w:rFonts w:ascii="Times New Roman" w:hAnsi="Times New Roman" w:cs="Times New Roman"/>
          <w:sz w:val="24"/>
          <w:szCs w:val="24"/>
          <w:lang w:val="tr-TR"/>
        </w:rPr>
        <w:t xml:space="preserve"> Bunun dışında bu dönem uygulama alanı bulan bir diğer kurum ise </w:t>
      </w:r>
      <w:r w:rsidR="003465D0" w:rsidRPr="00247141">
        <w:rPr>
          <w:rFonts w:ascii="Times New Roman" w:hAnsi="Times New Roman" w:cs="Times New Roman"/>
          <w:sz w:val="24"/>
          <w:szCs w:val="24"/>
          <w:lang w:val="tr-TR"/>
        </w:rPr>
        <w:lastRenderedPageBreak/>
        <w:t>yargıçlar için özgü bir suç tipi olan “</w:t>
      </w:r>
      <w:r w:rsidR="003465D0" w:rsidRPr="00247141">
        <w:rPr>
          <w:rFonts w:ascii="Times New Roman" w:hAnsi="Times New Roman" w:cs="Times New Roman"/>
          <w:i/>
          <w:iCs/>
          <w:sz w:val="24"/>
          <w:szCs w:val="24"/>
          <w:lang w:val="tr-TR"/>
        </w:rPr>
        <w:t>Rechtsbeugung</w:t>
      </w:r>
      <w:r w:rsidR="003465D0" w:rsidRPr="00247141">
        <w:rPr>
          <w:rFonts w:ascii="Times New Roman" w:hAnsi="Times New Roman" w:cs="Times New Roman"/>
          <w:sz w:val="24"/>
          <w:szCs w:val="24"/>
          <w:lang w:val="tr-TR"/>
        </w:rPr>
        <w:t>”(Hukukun kasten kötüye kullanılması) suçudur.</w:t>
      </w:r>
    </w:p>
    <w:p w14:paraId="0EB32E49" w14:textId="4C70DF7E" w:rsidR="00A00806" w:rsidRPr="00247141" w:rsidRDefault="00A00806" w:rsidP="001134D9">
      <w:pPr>
        <w:jc w:val="both"/>
        <w:rPr>
          <w:rFonts w:ascii="Times New Roman" w:hAnsi="Times New Roman" w:cs="Times New Roman"/>
          <w:sz w:val="24"/>
          <w:szCs w:val="24"/>
          <w:lang w:val="tr-TR"/>
        </w:rPr>
      </w:pPr>
      <w:r w:rsidRPr="00247141">
        <w:rPr>
          <w:rFonts w:ascii="Times New Roman" w:hAnsi="Times New Roman" w:cs="Times New Roman"/>
          <w:i/>
          <w:iCs/>
          <w:sz w:val="24"/>
          <w:szCs w:val="24"/>
          <w:lang w:val="tr-TR"/>
        </w:rPr>
        <w:t>Rechtsbeugung</w:t>
      </w:r>
      <w:r w:rsidR="00B5416C" w:rsidRPr="00247141">
        <w:rPr>
          <w:rFonts w:ascii="Times New Roman" w:hAnsi="Times New Roman" w:cs="Times New Roman"/>
          <w:sz w:val="24"/>
          <w:szCs w:val="24"/>
          <w:lang w:val="tr-TR"/>
        </w:rPr>
        <w:t xml:space="preserve"> kurumu  ilk </w:t>
      </w:r>
      <w:r w:rsidRPr="00247141">
        <w:rPr>
          <w:rFonts w:ascii="Times New Roman" w:hAnsi="Times New Roman" w:cs="Times New Roman"/>
          <w:sz w:val="24"/>
          <w:szCs w:val="24"/>
          <w:lang w:val="tr-TR"/>
        </w:rPr>
        <w:t xml:space="preserve">olarak </w:t>
      </w:r>
      <w:r w:rsidR="00EC41ED" w:rsidRPr="00247141">
        <w:rPr>
          <w:rFonts w:ascii="Times New Roman" w:hAnsi="Times New Roman" w:cs="Times New Roman"/>
          <w:sz w:val="24"/>
          <w:szCs w:val="24"/>
          <w:lang w:val="tr-TR"/>
        </w:rPr>
        <w:t xml:space="preserve"> Almanya’nın siyasal birliğinin kurulmasından </w:t>
      </w:r>
      <w:r w:rsidR="00B5416C" w:rsidRPr="00247141">
        <w:rPr>
          <w:rFonts w:ascii="Times New Roman" w:hAnsi="Times New Roman" w:cs="Times New Roman"/>
          <w:sz w:val="24"/>
          <w:szCs w:val="24"/>
          <w:lang w:val="tr-TR"/>
        </w:rPr>
        <w:t xml:space="preserve">çok </w:t>
      </w:r>
      <w:r w:rsidR="00EC41ED" w:rsidRPr="00247141">
        <w:rPr>
          <w:rFonts w:ascii="Times New Roman" w:hAnsi="Times New Roman" w:cs="Times New Roman"/>
          <w:sz w:val="24"/>
          <w:szCs w:val="24"/>
          <w:lang w:val="tr-TR"/>
        </w:rPr>
        <w:t>önce bir zamana tekabül  etmekte</w:t>
      </w:r>
      <w:r w:rsidR="005960E9" w:rsidRPr="00247141">
        <w:rPr>
          <w:rFonts w:ascii="Times New Roman" w:hAnsi="Times New Roman" w:cs="Times New Roman"/>
          <w:sz w:val="24"/>
          <w:szCs w:val="24"/>
          <w:lang w:val="tr-TR"/>
        </w:rPr>
        <w:t>dir</w:t>
      </w:r>
      <w:r w:rsidR="00B80763" w:rsidRPr="00247141">
        <w:rPr>
          <w:rFonts w:ascii="Times New Roman" w:hAnsi="Times New Roman" w:cs="Times New Roman"/>
          <w:sz w:val="24"/>
          <w:szCs w:val="24"/>
          <w:lang w:val="tr-TR"/>
        </w:rPr>
        <w:t>. Prusya Ceza Kanununun  314. Maddesi uyarınca kasıtlı olarak ya da başka bir kişinin/tarafın aleyhine karar verilmeine yol açan kamu görevlisi/memur 5 seneye kadar ağır kürek cezası</w:t>
      </w:r>
      <w:r w:rsidR="00B5416C" w:rsidRPr="00247141">
        <w:rPr>
          <w:rFonts w:ascii="Times New Roman" w:hAnsi="Times New Roman" w:cs="Times New Roman"/>
          <w:sz w:val="24"/>
          <w:szCs w:val="24"/>
          <w:lang w:val="tr-TR"/>
        </w:rPr>
        <w:t>na</w:t>
      </w:r>
      <w:r w:rsidR="00B80763" w:rsidRPr="00247141">
        <w:rPr>
          <w:rFonts w:ascii="Times New Roman" w:hAnsi="Times New Roman" w:cs="Times New Roman"/>
          <w:sz w:val="24"/>
          <w:szCs w:val="24"/>
          <w:lang w:val="tr-TR"/>
        </w:rPr>
        <w:t xml:space="preserve"> çarptırılacaktır. Bu düzenleme daha sonra 1871 İmparatorluk Ceza Kanununda 1968 DDR Ceza Kanunun ve Federal Alman Ceza Kanununda kendisine yer bulmuştur.</w:t>
      </w:r>
    </w:p>
    <w:p w14:paraId="1FC1EA72" w14:textId="11CE820E" w:rsidR="005960E9" w:rsidRPr="00247141" w:rsidRDefault="005960E9" w:rsidP="001134D9">
      <w:pPr>
        <w:jc w:val="both"/>
        <w:rPr>
          <w:rFonts w:ascii="Times New Roman" w:hAnsi="Times New Roman" w:cs="Times New Roman"/>
          <w:sz w:val="24"/>
          <w:szCs w:val="24"/>
          <w:lang w:val="tr-TR"/>
        </w:rPr>
      </w:pPr>
      <w:r w:rsidRPr="00247141">
        <w:rPr>
          <w:rFonts w:ascii="Times New Roman" w:hAnsi="Times New Roman" w:cs="Times New Roman"/>
          <w:sz w:val="24"/>
          <w:szCs w:val="24"/>
          <w:lang w:val="tr-TR"/>
        </w:rPr>
        <w:t>Bu suç tipinin  özellikle uygulamada yer bulması ve tartışma konusu olması Federal Almanya Cumhuriyeti ve Demokratik Almanya Cumhuriyeti’nin  birleşme sonrası eski DDR yargıçlarının yargılanmasında karşımıza çıkmıştır.</w:t>
      </w:r>
      <w:r w:rsidRPr="00247141">
        <w:rPr>
          <w:rStyle w:val="FootnoteReference"/>
          <w:rFonts w:ascii="Times New Roman" w:hAnsi="Times New Roman" w:cs="Times New Roman"/>
          <w:sz w:val="24"/>
          <w:szCs w:val="24"/>
        </w:rPr>
        <w:footnoteReference w:id="78"/>
      </w:r>
      <w:r w:rsidRPr="00247141">
        <w:rPr>
          <w:rFonts w:ascii="Times New Roman" w:hAnsi="Times New Roman" w:cs="Times New Roman"/>
          <w:sz w:val="24"/>
          <w:szCs w:val="24"/>
          <w:lang w:val="tr-TR"/>
        </w:rPr>
        <w:t xml:space="preserve"> Özellikle bu yargılamalarda ortaya çıkan vakalar, hukuk devletinin aşınmasında yargıcın rolüne de oldukça ışık tutmaktadır.</w:t>
      </w:r>
    </w:p>
    <w:p w14:paraId="24B3183B" w14:textId="179E658D" w:rsidR="00AD2A1F" w:rsidRPr="00247141" w:rsidRDefault="00CB668D" w:rsidP="00006B73">
      <w:pPr>
        <w:jc w:val="both"/>
        <w:rPr>
          <w:rFonts w:ascii="Times New Roman" w:hAnsi="Times New Roman" w:cs="Times New Roman"/>
          <w:sz w:val="24"/>
          <w:szCs w:val="24"/>
          <w:lang w:val="tr-TR"/>
        </w:rPr>
      </w:pPr>
      <w:r w:rsidRPr="00247141">
        <w:rPr>
          <w:rFonts w:ascii="Times New Roman" w:hAnsi="Times New Roman" w:cs="Times New Roman"/>
          <w:sz w:val="24"/>
          <w:szCs w:val="24"/>
          <w:lang w:val="tr-TR"/>
        </w:rPr>
        <w:t xml:space="preserve">Ancak belirtmek gerekir ki Federal  Yüksek Mahkeme, </w:t>
      </w:r>
      <w:r w:rsidRPr="00247141">
        <w:rPr>
          <w:rFonts w:ascii="Times New Roman" w:hAnsi="Times New Roman" w:cs="Times New Roman"/>
          <w:i/>
          <w:iCs/>
          <w:sz w:val="24"/>
          <w:szCs w:val="24"/>
          <w:lang w:val="tr-TR"/>
        </w:rPr>
        <w:t>Rechtsbeugung</w:t>
      </w:r>
      <w:r w:rsidRPr="00247141">
        <w:rPr>
          <w:rFonts w:ascii="Times New Roman" w:hAnsi="Times New Roman" w:cs="Times New Roman"/>
          <w:sz w:val="24"/>
          <w:szCs w:val="24"/>
          <w:lang w:val="tr-TR"/>
        </w:rPr>
        <w:t xml:space="preserve"> suçunu çok dar biçimde yorumlamakta</w:t>
      </w:r>
      <w:r w:rsidR="005960E9" w:rsidRPr="00247141">
        <w:rPr>
          <w:rFonts w:ascii="Times New Roman" w:hAnsi="Times New Roman" w:cs="Times New Roman"/>
          <w:sz w:val="24"/>
          <w:szCs w:val="24"/>
          <w:lang w:val="tr-TR"/>
        </w:rPr>
        <w:t>dır.</w:t>
      </w:r>
      <w:r w:rsidR="00293A5E" w:rsidRPr="00247141">
        <w:rPr>
          <w:rFonts w:ascii="Times New Roman" w:hAnsi="Times New Roman" w:cs="Times New Roman"/>
          <w:sz w:val="24"/>
          <w:szCs w:val="24"/>
          <w:lang w:val="tr-TR"/>
        </w:rPr>
        <w:t xml:space="preserve"> Mahkemeye göre her yanlış hukuk uygulaması,“ </w:t>
      </w:r>
      <w:r w:rsidR="00293A5E" w:rsidRPr="00247141">
        <w:rPr>
          <w:rFonts w:ascii="Times New Roman" w:hAnsi="Times New Roman" w:cs="Times New Roman"/>
          <w:i/>
          <w:iCs/>
          <w:sz w:val="24"/>
          <w:szCs w:val="24"/>
          <w:lang w:val="tr-TR"/>
        </w:rPr>
        <w:t>Rechtsbeugung</w:t>
      </w:r>
      <w:r w:rsidR="00293A5E" w:rsidRPr="00247141">
        <w:rPr>
          <w:rFonts w:ascii="Times New Roman" w:hAnsi="Times New Roman" w:cs="Times New Roman"/>
          <w:sz w:val="24"/>
          <w:szCs w:val="24"/>
          <w:lang w:val="tr-TR"/>
        </w:rPr>
        <w:t xml:space="preserve">“ suçunu doğurmaz, bu suç tipinin gerçekleşmesi için </w:t>
      </w:r>
      <w:r w:rsidR="00B5416C" w:rsidRPr="00247141">
        <w:rPr>
          <w:rFonts w:ascii="Times New Roman" w:hAnsi="Times New Roman" w:cs="Times New Roman"/>
          <w:sz w:val="24"/>
          <w:szCs w:val="24"/>
          <w:lang w:val="tr-TR"/>
        </w:rPr>
        <w:t>hukuku</w:t>
      </w:r>
      <w:r w:rsidR="00293A5E" w:rsidRPr="00247141">
        <w:rPr>
          <w:rFonts w:ascii="Times New Roman" w:hAnsi="Times New Roman" w:cs="Times New Roman"/>
          <w:sz w:val="24"/>
          <w:szCs w:val="24"/>
          <w:lang w:val="tr-TR"/>
        </w:rPr>
        <w:t>n kasten, kendi çıkarları ya da belirli bir grubun ç</w:t>
      </w:r>
      <w:r w:rsidR="00B5416C" w:rsidRPr="00247141">
        <w:rPr>
          <w:rFonts w:ascii="Times New Roman" w:hAnsi="Times New Roman" w:cs="Times New Roman"/>
          <w:sz w:val="24"/>
          <w:szCs w:val="24"/>
          <w:lang w:val="tr-TR"/>
        </w:rPr>
        <w:t xml:space="preserve">ıkarları doğrultusunda yasa ve </w:t>
      </w:r>
      <w:r w:rsidR="00293A5E" w:rsidRPr="00247141">
        <w:rPr>
          <w:rFonts w:ascii="Times New Roman" w:hAnsi="Times New Roman" w:cs="Times New Roman"/>
          <w:sz w:val="24"/>
          <w:szCs w:val="24"/>
          <w:lang w:val="tr-TR"/>
        </w:rPr>
        <w:t>adaletin aksine keyfilik için kullanılması gerekmektedir.</w:t>
      </w:r>
      <w:r w:rsidR="00293A5E" w:rsidRPr="00247141">
        <w:rPr>
          <w:rStyle w:val="FootnoteReference"/>
          <w:rFonts w:ascii="Times New Roman" w:hAnsi="Times New Roman" w:cs="Times New Roman"/>
          <w:sz w:val="24"/>
          <w:szCs w:val="24"/>
        </w:rPr>
        <w:footnoteReference w:id="79"/>
      </w:r>
      <w:r w:rsidR="00E82ADA" w:rsidRPr="00247141">
        <w:rPr>
          <w:rFonts w:ascii="Times New Roman" w:hAnsi="Times New Roman" w:cs="Times New Roman"/>
          <w:sz w:val="24"/>
          <w:szCs w:val="24"/>
          <w:lang w:val="tr-TR"/>
        </w:rPr>
        <w:t xml:space="preserve"> Bu noktada özellikle yargıçların gerçekten geçerli olan normatif bir hukuk düzeninde görev yapan yargıçlar olarak mı görev yaptıkları yoksa  „gerçek anayasal“ düzenin </w:t>
      </w:r>
      <w:r w:rsidR="00B5416C" w:rsidRPr="00247141">
        <w:rPr>
          <w:rFonts w:ascii="Times New Roman" w:hAnsi="Times New Roman" w:cs="Times New Roman"/>
          <w:sz w:val="24"/>
          <w:szCs w:val="24"/>
          <w:lang w:val="tr-TR"/>
        </w:rPr>
        <w:t xml:space="preserve">mi </w:t>
      </w:r>
      <w:r w:rsidR="00E82ADA" w:rsidRPr="00247141">
        <w:rPr>
          <w:rFonts w:ascii="Times New Roman" w:hAnsi="Times New Roman" w:cs="Times New Roman"/>
          <w:sz w:val="24"/>
          <w:szCs w:val="24"/>
          <w:lang w:val="tr-TR"/>
        </w:rPr>
        <w:t xml:space="preserve">esas alınması gerektiği başta </w:t>
      </w:r>
      <w:r w:rsidR="00E05C60" w:rsidRPr="00247141">
        <w:rPr>
          <w:rFonts w:ascii="Times New Roman" w:hAnsi="Times New Roman" w:cs="Times New Roman"/>
          <w:sz w:val="24"/>
          <w:szCs w:val="24"/>
          <w:lang w:val="tr-TR"/>
        </w:rPr>
        <w:t xml:space="preserve">Günther </w:t>
      </w:r>
      <w:r w:rsidR="00E82ADA" w:rsidRPr="00247141">
        <w:rPr>
          <w:rFonts w:ascii="Times New Roman" w:hAnsi="Times New Roman" w:cs="Times New Roman"/>
          <w:sz w:val="24"/>
          <w:szCs w:val="24"/>
          <w:lang w:val="tr-TR"/>
        </w:rPr>
        <w:t>Jacops olmak üzere çok sayıda ceza hukukçusu tarafından tartışılmış; Federal Mahkeme</w:t>
      </w:r>
      <w:r w:rsidR="00B34DA0" w:rsidRPr="00247141">
        <w:rPr>
          <w:rFonts w:ascii="Times New Roman" w:hAnsi="Times New Roman" w:cs="Times New Roman"/>
          <w:sz w:val="24"/>
          <w:szCs w:val="24"/>
          <w:lang w:val="tr-TR"/>
        </w:rPr>
        <w:t xml:space="preserve"> ise ilk görüşe yatkın olarak DDR yargıcının bu suçun kolayca faili olamayacağını belirtmiştir.</w:t>
      </w:r>
      <w:r w:rsidR="00B34DA0" w:rsidRPr="00247141">
        <w:rPr>
          <w:rStyle w:val="FootnoteReference"/>
          <w:rFonts w:ascii="Times New Roman" w:hAnsi="Times New Roman" w:cs="Times New Roman"/>
          <w:sz w:val="24"/>
          <w:szCs w:val="24"/>
        </w:rPr>
        <w:footnoteReference w:id="80"/>
      </w:r>
      <w:r w:rsidR="00CB7B7C" w:rsidRPr="00247141">
        <w:rPr>
          <w:rFonts w:ascii="Times New Roman" w:hAnsi="Times New Roman" w:cs="Times New Roman"/>
          <w:sz w:val="24"/>
          <w:szCs w:val="24"/>
          <w:lang w:val="tr-TR"/>
        </w:rPr>
        <w:t xml:space="preserve"> Diğer bir ifadeyle bu suçun faili olmak için tek başına BM Medeni ve Siyasal Haklar Sözleşmesine aykırı olması yetmez, aynı zamanda  bu insanlık karşıtı kararların  bir olgunun gerçeğe aykırı olarak çarpıtılarak siyasal amaçlarla verilmesi gerekmektedir.</w:t>
      </w:r>
      <w:r w:rsidR="00CB7B7C" w:rsidRPr="00247141">
        <w:rPr>
          <w:rStyle w:val="FootnoteReference"/>
          <w:rFonts w:ascii="Times New Roman" w:hAnsi="Times New Roman" w:cs="Times New Roman"/>
          <w:sz w:val="24"/>
          <w:szCs w:val="24"/>
        </w:rPr>
        <w:footnoteReference w:id="81"/>
      </w:r>
      <w:r w:rsidR="00783C53" w:rsidRPr="00247141">
        <w:rPr>
          <w:rFonts w:ascii="Times New Roman" w:hAnsi="Times New Roman" w:cs="Times New Roman"/>
          <w:sz w:val="24"/>
          <w:szCs w:val="24"/>
          <w:lang w:val="tr-TR"/>
        </w:rPr>
        <w:t xml:space="preserve">  </w:t>
      </w:r>
    </w:p>
    <w:p w14:paraId="155D6FB8" w14:textId="7DD4EDAA" w:rsidR="00783C53" w:rsidRPr="00247141" w:rsidRDefault="00783C53" w:rsidP="00B97FF3">
      <w:pPr>
        <w:jc w:val="both"/>
        <w:rPr>
          <w:rFonts w:ascii="Times New Roman" w:hAnsi="Times New Roman" w:cs="Times New Roman"/>
          <w:sz w:val="24"/>
          <w:szCs w:val="24"/>
          <w:lang w:val="tr-TR"/>
        </w:rPr>
      </w:pPr>
      <w:r w:rsidRPr="00247141">
        <w:rPr>
          <w:rFonts w:ascii="Times New Roman" w:hAnsi="Times New Roman" w:cs="Times New Roman"/>
          <w:sz w:val="24"/>
          <w:szCs w:val="24"/>
          <w:lang w:val="tr-TR"/>
        </w:rPr>
        <w:t xml:space="preserve">Son yıllarda ise bu suç tipinin </w:t>
      </w:r>
      <w:r w:rsidR="0084722D" w:rsidRPr="00247141">
        <w:rPr>
          <w:rFonts w:ascii="Times New Roman" w:hAnsi="Times New Roman" w:cs="Times New Roman"/>
          <w:sz w:val="24"/>
          <w:szCs w:val="24"/>
          <w:lang w:val="tr-TR"/>
        </w:rPr>
        <w:t xml:space="preserve">özellikle </w:t>
      </w:r>
      <w:r w:rsidR="00B97FF3" w:rsidRPr="00247141">
        <w:rPr>
          <w:rFonts w:ascii="Times New Roman" w:hAnsi="Times New Roman" w:cs="Times New Roman"/>
          <w:sz w:val="24"/>
          <w:szCs w:val="24"/>
          <w:lang w:val="tr-TR"/>
        </w:rPr>
        <w:t>AİHM kararlarına karşı hukuki argümandan yoksun biçimde direnen yargıçlar için kullanıldığı gözlenmektedir. Örneğin;</w:t>
      </w:r>
      <w:r w:rsidR="00B97FF3" w:rsidRPr="00247141">
        <w:rPr>
          <w:rFonts w:ascii="Times New Roman" w:hAnsi="Times New Roman" w:cs="Times New Roman"/>
          <w:lang w:val="tr-TR"/>
        </w:rPr>
        <w:t xml:space="preserve"> </w:t>
      </w:r>
      <w:r w:rsidR="00B97FF3" w:rsidRPr="00247141">
        <w:rPr>
          <w:rFonts w:ascii="Times New Roman" w:hAnsi="Times New Roman" w:cs="Times New Roman"/>
          <w:sz w:val="24"/>
          <w:szCs w:val="24"/>
          <w:lang w:val="tr-TR"/>
        </w:rPr>
        <w:t xml:space="preserve">Avrupa İnsan Hakları Mahkemesi’nin Almanya’ya karşı vermiş olduğu </w:t>
      </w:r>
      <w:r w:rsidR="00665888" w:rsidRPr="00247141">
        <w:rPr>
          <w:rFonts w:ascii="Times New Roman" w:hAnsi="Times New Roman" w:cs="Times New Roman"/>
          <w:sz w:val="24"/>
          <w:szCs w:val="24"/>
          <w:lang w:val="tr-TR"/>
        </w:rPr>
        <w:t>“</w:t>
      </w:r>
      <w:r w:rsidR="00B97FF3" w:rsidRPr="00247141">
        <w:rPr>
          <w:rFonts w:ascii="Times New Roman" w:hAnsi="Times New Roman" w:cs="Times New Roman"/>
          <w:sz w:val="24"/>
          <w:szCs w:val="24"/>
          <w:lang w:val="tr-TR"/>
        </w:rPr>
        <w:t>Görgülü</w:t>
      </w:r>
      <w:r w:rsidR="00665888" w:rsidRPr="00247141">
        <w:rPr>
          <w:rFonts w:ascii="Times New Roman" w:hAnsi="Times New Roman" w:cs="Times New Roman"/>
          <w:sz w:val="24"/>
          <w:szCs w:val="24"/>
          <w:lang w:val="tr-TR"/>
        </w:rPr>
        <w:t>”</w:t>
      </w:r>
      <w:r w:rsidR="00665888" w:rsidRPr="00247141">
        <w:rPr>
          <w:rStyle w:val="FootnoteReference"/>
          <w:rFonts w:ascii="Times New Roman" w:hAnsi="Times New Roman" w:cs="Times New Roman"/>
          <w:sz w:val="24"/>
          <w:szCs w:val="24"/>
          <w:lang w:val="tr-TR"/>
        </w:rPr>
        <w:footnoteReference w:id="82"/>
      </w:r>
      <w:r w:rsidR="00B97FF3" w:rsidRPr="00247141">
        <w:rPr>
          <w:rFonts w:ascii="Times New Roman" w:hAnsi="Times New Roman" w:cs="Times New Roman"/>
          <w:sz w:val="24"/>
          <w:szCs w:val="24"/>
          <w:lang w:val="tr-TR"/>
        </w:rPr>
        <w:t xml:space="preserve"> kararını ve Federal Alman Anayasa Mahkemesi’nin bu karara yönelik almış olduğu geçici tedbir kararını uygulamayan Naumburg Eyalet Mahkemesi üyeleri, AİHM kararını uygulamayan hakimler</w:t>
      </w:r>
      <w:r w:rsidR="008B6D57" w:rsidRPr="00247141">
        <w:rPr>
          <w:rFonts w:ascii="Times New Roman" w:hAnsi="Times New Roman" w:cs="Times New Roman"/>
          <w:sz w:val="24"/>
          <w:szCs w:val="24"/>
          <w:lang w:val="tr-TR"/>
        </w:rPr>
        <w:t>, haklarında</w:t>
      </w:r>
      <w:r w:rsidR="00B5416C" w:rsidRPr="00247141">
        <w:rPr>
          <w:rFonts w:ascii="Times New Roman" w:hAnsi="Times New Roman" w:cs="Times New Roman"/>
          <w:sz w:val="24"/>
          <w:szCs w:val="24"/>
          <w:lang w:val="tr-TR"/>
        </w:rPr>
        <w:t xml:space="preserve"> </w:t>
      </w:r>
      <w:r w:rsidR="00B97FF3" w:rsidRPr="00247141">
        <w:rPr>
          <w:rFonts w:ascii="Times New Roman" w:hAnsi="Times New Roman" w:cs="Times New Roman"/>
          <w:sz w:val="24"/>
          <w:szCs w:val="24"/>
          <w:lang w:val="tr-TR"/>
        </w:rPr>
        <w:t>Alman Ceza Kanununun 339. maddesi uyarınca hukuku kasten yanlış uyguladıkları (Rechtsbeugung) gerekçesiyle ceza mahkemesinde açılan dava ile yüzleşmişler</w:t>
      </w:r>
      <w:r w:rsidR="008B6D57" w:rsidRPr="00247141">
        <w:rPr>
          <w:rFonts w:ascii="Times New Roman" w:hAnsi="Times New Roman" w:cs="Times New Roman"/>
          <w:sz w:val="24"/>
          <w:szCs w:val="24"/>
          <w:lang w:val="tr-TR"/>
        </w:rPr>
        <w:t xml:space="preserve"> ancak uzun süren bir yargılama sonrasında beraat edebilmişlerdir.</w:t>
      </w:r>
    </w:p>
    <w:p w14:paraId="5B2D54F3" w14:textId="48230AB1" w:rsidR="00E86093" w:rsidRPr="00247141" w:rsidRDefault="00875ED1" w:rsidP="00006B73">
      <w:pPr>
        <w:jc w:val="both"/>
        <w:rPr>
          <w:rFonts w:cstheme="minorHAnsi"/>
          <w:b/>
          <w:bCs/>
          <w:sz w:val="24"/>
          <w:szCs w:val="24"/>
          <w:lang w:val="tr-TR"/>
        </w:rPr>
      </w:pPr>
      <w:r w:rsidRPr="00247141">
        <w:rPr>
          <w:rFonts w:cstheme="minorHAnsi"/>
          <w:b/>
          <w:bCs/>
          <w:sz w:val="24"/>
          <w:szCs w:val="24"/>
          <w:lang w:val="tr-TR"/>
        </w:rPr>
        <w:t>Sonuç</w:t>
      </w:r>
    </w:p>
    <w:p w14:paraId="692F7680" w14:textId="2FE881FB" w:rsidR="001C0C2A" w:rsidRPr="00247141" w:rsidRDefault="00B5416C" w:rsidP="00006B73">
      <w:pPr>
        <w:jc w:val="both"/>
        <w:rPr>
          <w:rFonts w:ascii="Times New Roman" w:hAnsi="Times New Roman" w:cs="Times New Roman"/>
          <w:bCs/>
          <w:sz w:val="24"/>
          <w:szCs w:val="24"/>
          <w:lang w:val="tr-TR"/>
        </w:rPr>
      </w:pPr>
      <w:r w:rsidRPr="00247141">
        <w:rPr>
          <w:rFonts w:ascii="Times New Roman" w:hAnsi="Times New Roman" w:cs="Times New Roman"/>
          <w:bCs/>
          <w:sz w:val="24"/>
          <w:szCs w:val="24"/>
          <w:lang w:val="tr-TR"/>
        </w:rPr>
        <w:t>Verilen örnekler ve emsal kararlar üzerinden okunacağı üzere; farklı ülkelerde ve farklı zaman dilimlerinde dahi olsa oldukça benzerlik barındıracak şekilde</w:t>
      </w:r>
      <w:r w:rsidR="00143D4A" w:rsidRPr="00247141">
        <w:rPr>
          <w:rFonts w:ascii="Times New Roman" w:hAnsi="Times New Roman" w:cs="Times New Roman"/>
          <w:bCs/>
          <w:sz w:val="24"/>
          <w:szCs w:val="24"/>
          <w:lang w:val="tr-TR"/>
        </w:rPr>
        <w:t>,</w:t>
      </w:r>
      <w:r w:rsidRPr="00247141">
        <w:rPr>
          <w:rFonts w:ascii="Times New Roman" w:hAnsi="Times New Roman" w:cs="Times New Roman"/>
          <w:bCs/>
          <w:sz w:val="24"/>
          <w:szCs w:val="24"/>
          <w:lang w:val="tr-TR"/>
        </w:rPr>
        <w:t xml:space="preserve"> </w:t>
      </w:r>
      <w:r w:rsidR="00143D4A" w:rsidRPr="00247141">
        <w:rPr>
          <w:rFonts w:ascii="Times New Roman" w:hAnsi="Times New Roman" w:cs="Times New Roman"/>
          <w:bCs/>
          <w:sz w:val="24"/>
          <w:szCs w:val="24"/>
          <w:lang w:val="tr-TR"/>
        </w:rPr>
        <w:t xml:space="preserve">yargıcın devletin yapısı ve erklerin düzenlenmesi üzerinde yadsınamayacak bir etkisi bulunmaktadır. Bu etki kimi durumlarda hukuk devletinin ve insan hakları temelli modern hukuk sisteminin lehine olsa da </w:t>
      </w:r>
      <w:r w:rsidR="00143D4A" w:rsidRPr="00247141">
        <w:rPr>
          <w:rFonts w:ascii="Times New Roman" w:hAnsi="Times New Roman" w:cs="Times New Roman"/>
          <w:bCs/>
          <w:sz w:val="24"/>
          <w:szCs w:val="24"/>
          <w:lang w:val="tr-TR"/>
        </w:rPr>
        <w:lastRenderedPageBreak/>
        <w:t xml:space="preserve">diğer durumlarda hukuk devletini kanun devletine indirgeyen bir anlayışın parçası olarak </w:t>
      </w:r>
      <w:r w:rsidR="007E0435" w:rsidRPr="00247141">
        <w:rPr>
          <w:rFonts w:ascii="Times New Roman" w:hAnsi="Times New Roman" w:cs="Times New Roman"/>
          <w:bCs/>
          <w:sz w:val="24"/>
          <w:szCs w:val="24"/>
          <w:lang w:val="tr-TR"/>
        </w:rPr>
        <w:t xml:space="preserve">hukuk devletini </w:t>
      </w:r>
      <w:r w:rsidR="0019111E" w:rsidRPr="00247141">
        <w:rPr>
          <w:rFonts w:ascii="Times New Roman" w:hAnsi="Times New Roman" w:cs="Times New Roman"/>
          <w:bCs/>
          <w:sz w:val="24"/>
          <w:szCs w:val="24"/>
          <w:lang w:val="tr-TR"/>
        </w:rPr>
        <w:t>aşındıran</w:t>
      </w:r>
      <w:r w:rsidR="007E0435" w:rsidRPr="00247141">
        <w:rPr>
          <w:rFonts w:ascii="Times New Roman" w:hAnsi="Times New Roman" w:cs="Times New Roman"/>
          <w:bCs/>
          <w:sz w:val="24"/>
          <w:szCs w:val="24"/>
          <w:lang w:val="tr-TR"/>
        </w:rPr>
        <w:t xml:space="preserve"> </w:t>
      </w:r>
      <w:r w:rsidR="0019111E" w:rsidRPr="00247141">
        <w:rPr>
          <w:rFonts w:ascii="Times New Roman" w:hAnsi="Times New Roman" w:cs="Times New Roman"/>
          <w:bCs/>
          <w:sz w:val="24"/>
          <w:szCs w:val="24"/>
          <w:lang w:val="tr-TR"/>
        </w:rPr>
        <w:t>yönelimlerin</w:t>
      </w:r>
      <w:r w:rsidR="007E0435" w:rsidRPr="00247141">
        <w:rPr>
          <w:rFonts w:ascii="Times New Roman" w:hAnsi="Times New Roman" w:cs="Times New Roman"/>
          <w:bCs/>
          <w:sz w:val="24"/>
          <w:szCs w:val="24"/>
          <w:lang w:val="tr-TR"/>
        </w:rPr>
        <w:t xml:space="preserve"> de</w:t>
      </w:r>
      <w:r w:rsidR="00143D4A" w:rsidRPr="00247141">
        <w:rPr>
          <w:rFonts w:ascii="Times New Roman" w:hAnsi="Times New Roman" w:cs="Times New Roman"/>
          <w:bCs/>
          <w:sz w:val="24"/>
          <w:szCs w:val="24"/>
          <w:lang w:val="tr-TR"/>
        </w:rPr>
        <w:t xml:space="preserve"> meşruiyet kazanmasının bir aracı olarak</w:t>
      </w:r>
      <w:r w:rsidR="00D142F8" w:rsidRPr="00247141">
        <w:rPr>
          <w:rFonts w:ascii="Times New Roman" w:hAnsi="Times New Roman" w:cs="Times New Roman"/>
          <w:bCs/>
          <w:sz w:val="24"/>
          <w:szCs w:val="24"/>
          <w:lang w:val="tr-TR"/>
        </w:rPr>
        <w:t xml:space="preserve"> da </w:t>
      </w:r>
      <w:r w:rsidR="00143D4A" w:rsidRPr="00247141">
        <w:rPr>
          <w:rFonts w:ascii="Times New Roman" w:hAnsi="Times New Roman" w:cs="Times New Roman"/>
          <w:bCs/>
          <w:sz w:val="24"/>
          <w:szCs w:val="24"/>
          <w:lang w:val="tr-TR"/>
        </w:rPr>
        <w:t xml:space="preserve"> kullanılmaktadır. Nitekim çalışmada da değinildiği üzere bazı durumlarda, siyasi otoritenin güç kazanmasının önüne geçen </w:t>
      </w:r>
      <w:r w:rsidR="00662D7A" w:rsidRPr="00247141">
        <w:rPr>
          <w:rFonts w:ascii="Times New Roman" w:hAnsi="Times New Roman" w:cs="Times New Roman"/>
          <w:bCs/>
          <w:sz w:val="24"/>
          <w:szCs w:val="24"/>
          <w:lang w:val="tr-TR"/>
        </w:rPr>
        <w:t>a</w:t>
      </w:r>
      <w:r w:rsidR="00143D4A" w:rsidRPr="00247141">
        <w:rPr>
          <w:rFonts w:ascii="Times New Roman" w:hAnsi="Times New Roman" w:cs="Times New Roman"/>
          <w:bCs/>
          <w:sz w:val="24"/>
          <w:szCs w:val="24"/>
          <w:lang w:val="tr-TR"/>
        </w:rPr>
        <w:t xml:space="preserve">nayasa maddelerinin dahi </w:t>
      </w:r>
      <w:r w:rsidR="00662D7A" w:rsidRPr="00247141">
        <w:rPr>
          <w:rFonts w:ascii="Times New Roman" w:hAnsi="Times New Roman" w:cs="Times New Roman"/>
          <w:bCs/>
          <w:sz w:val="24"/>
          <w:szCs w:val="24"/>
          <w:lang w:val="tr-TR"/>
        </w:rPr>
        <w:t>a</w:t>
      </w:r>
      <w:r w:rsidR="00143D4A" w:rsidRPr="00247141">
        <w:rPr>
          <w:rFonts w:ascii="Times New Roman" w:hAnsi="Times New Roman" w:cs="Times New Roman"/>
          <w:bCs/>
          <w:sz w:val="24"/>
          <w:szCs w:val="24"/>
          <w:lang w:val="tr-TR"/>
        </w:rPr>
        <w:t>nayasaya aykırı addedilmesiyle erkler dengesizliğine yol açacak kararlara imza atan yüksek mahkemeler ve yargıçların bir hukuki faaliyet yürüttükleri açıktır</w:t>
      </w:r>
      <w:r w:rsidR="00665888" w:rsidRPr="00247141">
        <w:rPr>
          <w:rFonts w:ascii="Times New Roman" w:hAnsi="Times New Roman" w:cs="Times New Roman"/>
          <w:bCs/>
          <w:sz w:val="24"/>
          <w:szCs w:val="24"/>
          <w:lang w:val="tr-TR"/>
        </w:rPr>
        <w:t>;</w:t>
      </w:r>
      <w:r w:rsidR="00143D4A" w:rsidRPr="00247141">
        <w:rPr>
          <w:rFonts w:ascii="Times New Roman" w:hAnsi="Times New Roman" w:cs="Times New Roman"/>
          <w:bCs/>
          <w:sz w:val="24"/>
          <w:szCs w:val="24"/>
          <w:lang w:val="tr-TR"/>
        </w:rPr>
        <w:t xml:space="preserve"> ancak bu faaliyetin</w:t>
      </w:r>
      <w:r w:rsidR="00F31B53" w:rsidRPr="00247141">
        <w:rPr>
          <w:rFonts w:ascii="Times New Roman" w:hAnsi="Times New Roman" w:cs="Times New Roman"/>
          <w:bCs/>
          <w:sz w:val="24"/>
          <w:szCs w:val="24"/>
          <w:lang w:val="tr-TR"/>
        </w:rPr>
        <w:t xml:space="preserve"> ve verilen kararların devletin demokratik yapısı içindeki uzun vadeli sonuçları;</w:t>
      </w:r>
      <w:r w:rsidR="00143D4A" w:rsidRPr="00247141">
        <w:rPr>
          <w:rFonts w:ascii="Times New Roman" w:hAnsi="Times New Roman" w:cs="Times New Roman"/>
          <w:bCs/>
          <w:sz w:val="24"/>
          <w:szCs w:val="24"/>
          <w:lang w:val="tr-TR"/>
        </w:rPr>
        <w:t xml:space="preserve"> yargıcın hukuk devletiyle olan bağı</w:t>
      </w:r>
      <w:r w:rsidR="00F31B53" w:rsidRPr="00247141">
        <w:rPr>
          <w:rFonts w:ascii="Times New Roman" w:hAnsi="Times New Roman" w:cs="Times New Roman"/>
          <w:bCs/>
          <w:sz w:val="24"/>
          <w:szCs w:val="24"/>
          <w:lang w:val="tr-TR"/>
        </w:rPr>
        <w:t xml:space="preserve">nın niteliğini ortaya koyacaktır. </w:t>
      </w:r>
    </w:p>
    <w:p w14:paraId="39646084" w14:textId="212B4222" w:rsidR="00BC0905" w:rsidRPr="00247141" w:rsidRDefault="00BC0905" w:rsidP="00006B73">
      <w:pPr>
        <w:jc w:val="both"/>
        <w:rPr>
          <w:b/>
          <w:bCs/>
          <w:sz w:val="24"/>
          <w:szCs w:val="24"/>
          <w:lang w:val="tr-TR"/>
        </w:rPr>
      </w:pPr>
      <w:r w:rsidRPr="00247141">
        <w:rPr>
          <w:b/>
          <w:bCs/>
          <w:sz w:val="24"/>
          <w:szCs w:val="24"/>
          <w:lang w:val="tr-TR"/>
        </w:rPr>
        <w:t>KAYNAKÇA</w:t>
      </w:r>
    </w:p>
    <w:p w14:paraId="70D0DACD" w14:textId="078CE751" w:rsidR="00F25124" w:rsidRPr="00247141" w:rsidRDefault="00F25124" w:rsidP="0092536C">
      <w:pPr>
        <w:jc w:val="both"/>
        <w:rPr>
          <w:sz w:val="24"/>
          <w:szCs w:val="24"/>
          <w:lang w:val="tr-TR"/>
        </w:rPr>
      </w:pPr>
      <w:r w:rsidRPr="00247141">
        <w:rPr>
          <w:b/>
          <w:bCs/>
          <w:sz w:val="24"/>
          <w:szCs w:val="24"/>
          <w:lang w:val="tr-TR"/>
        </w:rPr>
        <w:t>-</w:t>
      </w:r>
      <w:r w:rsidRPr="00247141">
        <w:rPr>
          <w:lang w:val="tr-TR"/>
        </w:rPr>
        <w:t xml:space="preserve"> </w:t>
      </w:r>
      <w:r w:rsidRPr="00247141">
        <w:rPr>
          <w:sz w:val="24"/>
          <w:szCs w:val="24"/>
          <w:lang w:val="tr-TR"/>
        </w:rPr>
        <w:t>Akartürk, Ekrem Ali Sınırlı Denetimden Mutlak Denetimsizliğe: Ohal KHK’lerinin Hukukla İmtihanı (!), Yeditepe Üniversitesi Hukuk Fakültesi Dergisi, Cilt: 13, Sayı: 1, Ocak 2017, s. 197-212.</w:t>
      </w:r>
    </w:p>
    <w:p w14:paraId="4392BB4F" w14:textId="66793BB6" w:rsidR="007052E6" w:rsidRPr="00247141" w:rsidRDefault="007052E6" w:rsidP="00D5608D">
      <w:pPr>
        <w:jc w:val="both"/>
        <w:rPr>
          <w:sz w:val="24"/>
          <w:szCs w:val="24"/>
          <w:lang w:val="tr-TR"/>
        </w:rPr>
      </w:pPr>
      <w:r w:rsidRPr="00247141">
        <w:rPr>
          <w:sz w:val="24"/>
          <w:szCs w:val="24"/>
          <w:lang w:val="tr-TR"/>
        </w:rPr>
        <w:t>-Barın,</w:t>
      </w:r>
      <w:r w:rsidR="00D5608D" w:rsidRPr="00247141">
        <w:rPr>
          <w:sz w:val="24"/>
          <w:szCs w:val="24"/>
          <w:lang w:val="tr-TR"/>
        </w:rPr>
        <w:t xml:space="preserve"> Taylan, Temel Hak ve Hürriyetlerin Kullanılmasının Durdurulması ve Sınırlanması Arasında: Kanunlaşan OHAL KHK’larının Yargısal Denetimi,</w:t>
      </w:r>
      <w:r w:rsidR="00335B15" w:rsidRPr="00247141">
        <w:rPr>
          <w:sz w:val="24"/>
          <w:szCs w:val="24"/>
          <w:lang w:val="tr-TR"/>
        </w:rPr>
        <w:t xml:space="preserve"> Yıl 2020, Cilt 75, Sayı 2, s.</w:t>
      </w:r>
      <w:r w:rsidR="00595B90" w:rsidRPr="00247141">
        <w:rPr>
          <w:lang w:val="tr-TR"/>
        </w:rPr>
        <w:t xml:space="preserve"> </w:t>
      </w:r>
      <w:r w:rsidR="00595B90" w:rsidRPr="00247141">
        <w:rPr>
          <w:sz w:val="24"/>
          <w:szCs w:val="24"/>
          <w:lang w:val="tr-TR"/>
        </w:rPr>
        <w:t>557 – 587.</w:t>
      </w:r>
    </w:p>
    <w:p w14:paraId="6D5C00A9" w14:textId="06883D76" w:rsidR="0092536C" w:rsidRPr="00247141" w:rsidRDefault="0092536C" w:rsidP="0092536C">
      <w:pPr>
        <w:jc w:val="both"/>
        <w:rPr>
          <w:sz w:val="24"/>
          <w:szCs w:val="24"/>
          <w:lang w:val="tr-TR"/>
        </w:rPr>
      </w:pPr>
      <w:r w:rsidRPr="00247141">
        <w:rPr>
          <w:sz w:val="24"/>
          <w:szCs w:val="24"/>
          <w:lang w:val="tr-TR"/>
        </w:rPr>
        <w:t xml:space="preserve">-Batum, Süheyl/ Kanadoğlu, Korkut/ Boyunsuz, Şule Özsoy; Avukatlık Kanununda Değişiklik Yapılmasına Dair 7249 Sayılı Kanun’un Anayasaya Aykırılık Değerlendirilmesi, </w:t>
      </w:r>
      <w:hyperlink r:id="rId7" w:history="1">
        <w:r w:rsidRPr="00247141">
          <w:rPr>
            <w:rStyle w:val="Hyperlink"/>
            <w:color w:val="auto"/>
            <w:sz w:val="24"/>
            <w:szCs w:val="24"/>
            <w:lang w:val="tr-TR"/>
          </w:rPr>
          <w:t>https://www.istanbulbarosu.org.tr/files/docs/AvukatlikKanunuDegis-AVProflar-AnayasayaAykirilikDegerlendirmesi.pdf</w:t>
        </w:r>
      </w:hyperlink>
      <w:r w:rsidRPr="00247141">
        <w:rPr>
          <w:sz w:val="24"/>
          <w:szCs w:val="24"/>
          <w:lang w:val="tr-TR"/>
        </w:rPr>
        <w:t xml:space="preserve"> , s.13vd. (Erişim tarihi:14.10.2021)</w:t>
      </w:r>
    </w:p>
    <w:p w14:paraId="33AA8666" w14:textId="3F348812" w:rsidR="00A20784" w:rsidRPr="00247141" w:rsidRDefault="00A20784" w:rsidP="0092536C">
      <w:pPr>
        <w:jc w:val="both"/>
        <w:rPr>
          <w:sz w:val="24"/>
          <w:szCs w:val="24"/>
          <w:lang w:val="tr-TR"/>
        </w:rPr>
      </w:pPr>
      <w:r w:rsidRPr="00247141">
        <w:rPr>
          <w:sz w:val="24"/>
          <w:szCs w:val="24"/>
          <w:lang w:val="tr-TR"/>
        </w:rPr>
        <w:t>- Bloyemer, Peter, Der Notstand in den letzten Jahren von Weimar, Dunckler&amp;Humbot Verlag, Berlin 1999.</w:t>
      </w:r>
    </w:p>
    <w:p w14:paraId="1B70D2B8" w14:textId="57A87A4E" w:rsidR="003169DC" w:rsidRPr="00247141" w:rsidRDefault="003169DC" w:rsidP="00006B73">
      <w:pPr>
        <w:jc w:val="both"/>
        <w:rPr>
          <w:sz w:val="24"/>
          <w:szCs w:val="24"/>
        </w:rPr>
      </w:pPr>
      <w:r w:rsidRPr="00247141">
        <w:rPr>
          <w:sz w:val="24"/>
          <w:szCs w:val="24"/>
        </w:rPr>
        <w:t xml:space="preserve">- Degenhart, Christoph, Herrschaft auf Zeit, </w:t>
      </w:r>
      <w:hyperlink r:id="rId8" w:history="1">
        <w:r w:rsidR="004301DB" w:rsidRPr="00247141">
          <w:rPr>
            <w:rStyle w:val="Hyperlink"/>
            <w:color w:val="auto"/>
            <w:sz w:val="24"/>
            <w:szCs w:val="24"/>
          </w:rPr>
          <w:t>https://christoph-degenhart.com/wp-content/uploads/2021/04/Kolumne_Degenhart-BK.pdf</w:t>
        </w:r>
      </w:hyperlink>
      <w:r w:rsidR="004301DB" w:rsidRPr="00247141">
        <w:rPr>
          <w:sz w:val="24"/>
          <w:szCs w:val="24"/>
        </w:rPr>
        <w:t xml:space="preserve"> (Erişim tarihi:15.10.2021)</w:t>
      </w:r>
    </w:p>
    <w:p w14:paraId="4B45D0E0" w14:textId="1AF09AD6" w:rsidR="00B035CC" w:rsidRPr="00247141" w:rsidRDefault="00B035CC" w:rsidP="00006B73">
      <w:pPr>
        <w:jc w:val="both"/>
        <w:rPr>
          <w:b/>
          <w:bCs/>
          <w:sz w:val="24"/>
          <w:szCs w:val="24"/>
          <w:lang w:val="en-GB"/>
        </w:rPr>
      </w:pPr>
      <w:r w:rsidRPr="00247141">
        <w:rPr>
          <w:b/>
          <w:bCs/>
          <w:sz w:val="24"/>
          <w:szCs w:val="24"/>
          <w:lang w:val="en-GB"/>
        </w:rPr>
        <w:t>-</w:t>
      </w:r>
      <w:r w:rsidRPr="00247141">
        <w:rPr>
          <w:lang w:val="en-GB"/>
        </w:rPr>
        <w:t xml:space="preserve"> </w:t>
      </w:r>
      <w:r w:rsidRPr="00247141">
        <w:rPr>
          <w:sz w:val="24"/>
          <w:szCs w:val="24"/>
          <w:lang w:val="en-GB"/>
        </w:rPr>
        <w:t>Cepeda-Espinosa, Manuel Jose,  Judicial Activism in a Violent Context: The Origin, Role, and Impact of the Colombian Constitutional Court Volume 3, Issue 4 (2004) Judicial Activism in a Violent Context: The Origin, Role, and Impact of the Colombian Constitutional Court, s. 537-687.</w:t>
      </w:r>
    </w:p>
    <w:p w14:paraId="27BFAD99" w14:textId="5DF2D1D2" w:rsidR="00BC0905" w:rsidRPr="00247141" w:rsidRDefault="00BC0905" w:rsidP="00006B73">
      <w:pPr>
        <w:jc w:val="both"/>
        <w:rPr>
          <w:sz w:val="24"/>
          <w:szCs w:val="24"/>
          <w:lang w:val="en-GB"/>
        </w:rPr>
      </w:pPr>
      <w:r w:rsidRPr="00247141">
        <w:rPr>
          <w:b/>
          <w:bCs/>
          <w:sz w:val="24"/>
          <w:szCs w:val="24"/>
          <w:lang w:val="en-GB"/>
        </w:rPr>
        <w:t>-</w:t>
      </w:r>
      <w:r w:rsidRPr="00247141">
        <w:rPr>
          <w:lang w:val="en-GB"/>
        </w:rPr>
        <w:t xml:space="preserve"> </w:t>
      </w:r>
      <w:r w:rsidRPr="00247141">
        <w:rPr>
          <w:sz w:val="24"/>
          <w:szCs w:val="24"/>
          <w:lang w:val="en-GB"/>
        </w:rPr>
        <w:t>Didier, Jean John Locke, Çev. Atakan Altınörs, Pinhan Yayıncılık, İstanbul 2019, s. 58.</w:t>
      </w:r>
    </w:p>
    <w:p w14:paraId="7D5BC520" w14:textId="63656D30" w:rsidR="00F25124" w:rsidRPr="00247141" w:rsidRDefault="002A7A6B" w:rsidP="00006B73">
      <w:pPr>
        <w:jc w:val="both"/>
        <w:rPr>
          <w:sz w:val="24"/>
          <w:szCs w:val="24"/>
          <w:lang w:val="en-GB"/>
        </w:rPr>
      </w:pPr>
      <w:r w:rsidRPr="00247141">
        <w:rPr>
          <w:sz w:val="24"/>
          <w:szCs w:val="24"/>
          <w:lang w:val="en-GB"/>
        </w:rPr>
        <w:t>-</w:t>
      </w:r>
      <w:r w:rsidRPr="00247141">
        <w:rPr>
          <w:lang w:val="en-GB"/>
        </w:rPr>
        <w:t xml:space="preserve"> </w:t>
      </w:r>
      <w:r w:rsidRPr="00247141">
        <w:rPr>
          <w:sz w:val="24"/>
          <w:szCs w:val="24"/>
          <w:lang w:val="en-GB"/>
        </w:rPr>
        <w:t xml:space="preserve">Domin, Marek, A Part of the Constitution is Unconstitutional, the Slovak Constitutional Court has Ruled’ IACL-AIDC Blog (6 February 2019) </w:t>
      </w:r>
      <w:hyperlink r:id="rId9" w:history="1">
        <w:r w:rsidRPr="00247141">
          <w:rPr>
            <w:rStyle w:val="Hyperlink"/>
            <w:color w:val="auto"/>
            <w:sz w:val="24"/>
            <w:szCs w:val="24"/>
            <w:lang w:val="en-GB"/>
          </w:rPr>
          <w:t>https://blog-iacl-aidc.org/2019-posts/2019/2/5/a-part-of-the-constitution-is-unconstitutional-the-slovak-constitutional-court-has-ruled</w:t>
        </w:r>
      </w:hyperlink>
      <w:r w:rsidRPr="00247141">
        <w:rPr>
          <w:sz w:val="24"/>
          <w:szCs w:val="24"/>
          <w:lang w:val="en-GB"/>
        </w:rPr>
        <w:t xml:space="preserve"> </w:t>
      </w:r>
    </w:p>
    <w:p w14:paraId="451AC026" w14:textId="607C4490" w:rsidR="007907EB" w:rsidRPr="00247141" w:rsidRDefault="007907EB" w:rsidP="007907EB">
      <w:pPr>
        <w:jc w:val="both"/>
        <w:rPr>
          <w:sz w:val="24"/>
          <w:szCs w:val="24"/>
          <w:lang w:val="en-GB"/>
        </w:rPr>
      </w:pPr>
      <w:r w:rsidRPr="00247141">
        <w:rPr>
          <w:sz w:val="24"/>
          <w:szCs w:val="24"/>
          <w:lang w:val="en-GB"/>
        </w:rPr>
        <w:t>- Daly, Tom Gerald, The Alchemists: Questioning our Faith in Courts as Democracy-Builders. Cambridge University Press 2017.</w:t>
      </w:r>
    </w:p>
    <w:p w14:paraId="1A5F4119" w14:textId="02B7CB64" w:rsidR="009B6A91" w:rsidRPr="00247141" w:rsidRDefault="009B6A91" w:rsidP="009B6A91">
      <w:pPr>
        <w:jc w:val="both"/>
        <w:rPr>
          <w:sz w:val="24"/>
          <w:szCs w:val="24"/>
          <w:lang w:val="en-GB"/>
        </w:rPr>
      </w:pPr>
      <w:r w:rsidRPr="00247141">
        <w:rPr>
          <w:sz w:val="24"/>
          <w:szCs w:val="24"/>
          <w:lang w:val="en-GB"/>
        </w:rPr>
        <w:t>-Duygun, Ahmet Mert, Popülist Anayasacılığa Giriş,  Anayasa Hukuku Dergisi Cilt: 9 - Sayı: 18, 397-464.</w:t>
      </w:r>
    </w:p>
    <w:p w14:paraId="3D54CA33" w14:textId="08AC1DA6" w:rsidR="00B75D84" w:rsidRPr="00247141" w:rsidRDefault="00B75D84" w:rsidP="007907EB">
      <w:pPr>
        <w:jc w:val="both"/>
        <w:rPr>
          <w:sz w:val="24"/>
          <w:szCs w:val="24"/>
          <w:lang w:val="en-GB"/>
        </w:rPr>
      </w:pPr>
      <w:r w:rsidRPr="00247141">
        <w:rPr>
          <w:sz w:val="24"/>
          <w:szCs w:val="24"/>
          <w:lang w:val="en-GB"/>
        </w:rPr>
        <w:t>- Erdoğan, Mustafa, Anayasa Mahkemesi Önemli midir? Orta Avrupa’da Anayasa Yargısı ve Demokrasinin Pekişmesi, AÜFHD, C. 54 Sa.3, Yıl 2005</w:t>
      </w:r>
      <w:r w:rsidR="00456C3A" w:rsidRPr="00247141">
        <w:rPr>
          <w:sz w:val="24"/>
          <w:szCs w:val="24"/>
          <w:lang w:val="en-GB"/>
        </w:rPr>
        <w:t>, s.1-22.</w:t>
      </w:r>
    </w:p>
    <w:p w14:paraId="4DFA0FBE" w14:textId="0A24C6BF" w:rsidR="007B48F6" w:rsidRPr="00247141" w:rsidRDefault="007B48F6" w:rsidP="007907EB">
      <w:pPr>
        <w:jc w:val="both"/>
        <w:rPr>
          <w:sz w:val="24"/>
          <w:szCs w:val="24"/>
        </w:rPr>
      </w:pPr>
      <w:r w:rsidRPr="00247141">
        <w:rPr>
          <w:sz w:val="24"/>
          <w:szCs w:val="24"/>
        </w:rPr>
        <w:lastRenderedPageBreak/>
        <w:t>-</w:t>
      </w:r>
      <w:r w:rsidRPr="00247141">
        <w:t xml:space="preserve"> </w:t>
      </w:r>
      <w:r w:rsidRPr="00247141">
        <w:rPr>
          <w:sz w:val="24"/>
          <w:szCs w:val="24"/>
        </w:rPr>
        <w:t>Fromme, Friedrich</w:t>
      </w:r>
      <w:r w:rsidR="00075D23" w:rsidRPr="00247141">
        <w:rPr>
          <w:sz w:val="24"/>
          <w:szCs w:val="24"/>
        </w:rPr>
        <w:t xml:space="preserve"> Karl,</w:t>
      </w:r>
      <w:r w:rsidRPr="00247141">
        <w:rPr>
          <w:sz w:val="24"/>
          <w:szCs w:val="24"/>
        </w:rPr>
        <w:t xml:space="preserve">  Von der Weimarer Verfassung zum Bonner Grundgesetz Die verfassungspolitischen Folgerungen des Parlamentarischen Rates aus Weimarer Republik und nationalsozialistischer Diktatur, Dritte ergaenzte Auflage Duncker &amp; Humblot, Berlin 1999.</w:t>
      </w:r>
    </w:p>
    <w:p w14:paraId="7801BE71" w14:textId="769EFE67" w:rsidR="00F25124" w:rsidRPr="00247141" w:rsidRDefault="00F25124" w:rsidP="00006B73">
      <w:pPr>
        <w:jc w:val="both"/>
        <w:rPr>
          <w:sz w:val="24"/>
          <w:szCs w:val="24"/>
        </w:rPr>
      </w:pPr>
      <w:r w:rsidRPr="00247141">
        <w:rPr>
          <w:sz w:val="24"/>
          <w:szCs w:val="24"/>
        </w:rPr>
        <w:t>-</w:t>
      </w:r>
      <w:r w:rsidRPr="00247141">
        <w:t xml:space="preserve"> </w:t>
      </w:r>
      <w:r w:rsidRPr="00247141">
        <w:rPr>
          <w:sz w:val="24"/>
          <w:szCs w:val="24"/>
        </w:rPr>
        <w:t>Göztepe, Ece, Bir Klasik Eser Olarak Carl Schmitt’in “Anayasa Öğretisi”, İÜHFM C. LXXIII,  s.129-180.</w:t>
      </w:r>
    </w:p>
    <w:p w14:paraId="06A34F3A" w14:textId="3629B4F8" w:rsidR="00F25124" w:rsidRPr="00247141" w:rsidRDefault="00F25124" w:rsidP="00006B73">
      <w:pPr>
        <w:jc w:val="both"/>
        <w:rPr>
          <w:sz w:val="24"/>
          <w:szCs w:val="24"/>
          <w:lang w:val="en-GB"/>
        </w:rPr>
      </w:pPr>
      <w:r w:rsidRPr="00247141">
        <w:rPr>
          <w:sz w:val="24"/>
          <w:szCs w:val="24"/>
          <w:lang w:val="en-GB"/>
        </w:rPr>
        <w:t>-</w:t>
      </w:r>
      <w:r w:rsidRPr="00247141">
        <w:rPr>
          <w:lang w:val="en-GB"/>
        </w:rPr>
        <w:t xml:space="preserve"> </w:t>
      </w:r>
      <w:r w:rsidRPr="00247141">
        <w:rPr>
          <w:sz w:val="24"/>
          <w:szCs w:val="24"/>
          <w:lang w:val="en-GB"/>
        </w:rPr>
        <w:t>Graver, Hans Peter, Judges Against Justice On Judges When the Rule of Law is Under Attack, Springer Verlag, Heidelberg 2015.</w:t>
      </w:r>
    </w:p>
    <w:p w14:paraId="41067139" w14:textId="0A9EEEC6" w:rsidR="005D5CB3" w:rsidRPr="00247141" w:rsidRDefault="005D5CB3" w:rsidP="00006B73">
      <w:pPr>
        <w:jc w:val="both"/>
        <w:rPr>
          <w:sz w:val="24"/>
          <w:szCs w:val="24"/>
        </w:rPr>
      </w:pPr>
      <w:r w:rsidRPr="00247141">
        <w:rPr>
          <w:sz w:val="24"/>
          <w:szCs w:val="24"/>
        </w:rPr>
        <w:t>-</w:t>
      </w:r>
      <w:r w:rsidRPr="00247141">
        <w:t xml:space="preserve"> </w:t>
      </w:r>
      <w:r w:rsidRPr="00247141">
        <w:rPr>
          <w:sz w:val="24"/>
          <w:szCs w:val="24"/>
        </w:rPr>
        <w:t>Grund, Henning, “Preußenschlag” und Staatsgerichtshof im Jahre 1932, Nomos Verlag, Bade-Baden 1976.</w:t>
      </w:r>
    </w:p>
    <w:p w14:paraId="0E3ADE53" w14:textId="081566A0" w:rsidR="00F25124" w:rsidRPr="00247141" w:rsidRDefault="00F25124" w:rsidP="00006B73">
      <w:pPr>
        <w:jc w:val="both"/>
        <w:rPr>
          <w:sz w:val="24"/>
          <w:szCs w:val="24"/>
        </w:rPr>
      </w:pPr>
      <w:r w:rsidRPr="00247141">
        <w:rPr>
          <w:sz w:val="24"/>
          <w:szCs w:val="24"/>
        </w:rPr>
        <w:t>-</w:t>
      </w:r>
      <w:r w:rsidRPr="00247141">
        <w:t xml:space="preserve"> </w:t>
      </w:r>
      <w:r w:rsidRPr="00247141">
        <w:rPr>
          <w:sz w:val="24"/>
          <w:szCs w:val="24"/>
        </w:rPr>
        <w:t>Henning, Rudolf, Rechtstaat und Richterstaat, JCSW 03 (1962), s. 182.</w:t>
      </w:r>
    </w:p>
    <w:p w14:paraId="380EBD66" w14:textId="7747EAF2" w:rsidR="005E5CEC" w:rsidRPr="00247141" w:rsidRDefault="005E5CEC" w:rsidP="00006B73">
      <w:pPr>
        <w:jc w:val="both"/>
        <w:rPr>
          <w:sz w:val="24"/>
          <w:szCs w:val="24"/>
          <w:lang w:val="en-GB"/>
        </w:rPr>
      </w:pPr>
      <w:r w:rsidRPr="00247141">
        <w:rPr>
          <w:sz w:val="24"/>
          <w:szCs w:val="24"/>
        </w:rPr>
        <w:t>-</w:t>
      </w:r>
      <w:r w:rsidRPr="00247141">
        <w:t xml:space="preserve"> </w:t>
      </w:r>
      <w:r w:rsidRPr="00247141">
        <w:rPr>
          <w:sz w:val="24"/>
          <w:szCs w:val="24"/>
        </w:rPr>
        <w:t xml:space="preserve">Kanadoğlu, Korkut/ Duygun, Ahmet Mert; Anayasa Hukukunun Genel Esasları, Oniki Levha Yayınları, </w:t>
      </w:r>
      <w:r w:rsidR="004506A0" w:rsidRPr="00247141">
        <w:rPr>
          <w:sz w:val="24"/>
          <w:szCs w:val="24"/>
        </w:rPr>
        <w:t xml:space="preserve">2. </w:t>
      </w:r>
      <w:r w:rsidR="004506A0" w:rsidRPr="00247141">
        <w:rPr>
          <w:sz w:val="24"/>
          <w:szCs w:val="24"/>
          <w:lang w:val="en-GB"/>
        </w:rPr>
        <w:t xml:space="preserve">Bası, </w:t>
      </w:r>
      <w:r w:rsidRPr="00247141">
        <w:rPr>
          <w:sz w:val="24"/>
          <w:szCs w:val="24"/>
          <w:lang w:val="en-GB"/>
        </w:rPr>
        <w:t>İstanbul 202</w:t>
      </w:r>
      <w:r w:rsidR="004506A0" w:rsidRPr="00247141">
        <w:rPr>
          <w:sz w:val="24"/>
          <w:szCs w:val="24"/>
          <w:lang w:val="en-GB"/>
        </w:rPr>
        <w:t>1.</w:t>
      </w:r>
    </w:p>
    <w:p w14:paraId="3EBC487B" w14:textId="466F3345" w:rsidR="00F25124" w:rsidRPr="00247141" w:rsidRDefault="00F25124" w:rsidP="00006B73">
      <w:pPr>
        <w:jc w:val="both"/>
        <w:rPr>
          <w:sz w:val="24"/>
          <w:szCs w:val="24"/>
          <w:lang w:val="en-GB"/>
        </w:rPr>
      </w:pPr>
      <w:r w:rsidRPr="00247141">
        <w:rPr>
          <w:sz w:val="24"/>
          <w:szCs w:val="24"/>
          <w:lang w:val="en-GB"/>
        </w:rPr>
        <w:t>- Kosar, David/ Baros, Jiri /  Dufek, Pavel; The Twin Challenges to Seperation of Powers in Central Europe: Technocrati Governance and Populism, European Constutional Law Review, 15(2019),s.427-461.</w:t>
      </w:r>
    </w:p>
    <w:p w14:paraId="5545CDF7" w14:textId="677F9537" w:rsidR="007D4FBB" w:rsidRPr="00247141" w:rsidRDefault="007D4FBB" w:rsidP="00006B73">
      <w:pPr>
        <w:jc w:val="both"/>
        <w:rPr>
          <w:sz w:val="24"/>
          <w:szCs w:val="24"/>
        </w:rPr>
      </w:pPr>
      <w:r w:rsidRPr="00247141">
        <w:rPr>
          <w:sz w:val="24"/>
          <w:szCs w:val="24"/>
        </w:rPr>
        <w:t>- Kramer, Helmut, Zum Gebrauch und Missbrauch der juristischen Methode zur Stabilisierung(nicht nur) totalitarer Systeme,in : Die Unabhaengigkeit des Richters( Hrsg: Holzwarth/Lamprecht/Schalk/Spaeth/Zech),Mohr Siebeck Verlag, s.</w:t>
      </w:r>
      <w:r w:rsidR="00576198" w:rsidRPr="00247141">
        <w:rPr>
          <w:sz w:val="24"/>
          <w:szCs w:val="24"/>
        </w:rPr>
        <w:t xml:space="preserve"> 33-53.</w:t>
      </w:r>
    </w:p>
    <w:p w14:paraId="6E1185A9" w14:textId="20634276" w:rsidR="00F25124" w:rsidRPr="00247141" w:rsidRDefault="00F25124" w:rsidP="00006B73">
      <w:pPr>
        <w:jc w:val="both"/>
        <w:rPr>
          <w:sz w:val="24"/>
          <w:szCs w:val="24"/>
          <w:lang w:val="en-GB"/>
        </w:rPr>
      </w:pPr>
      <w:r w:rsidRPr="00247141">
        <w:rPr>
          <w:sz w:val="24"/>
          <w:szCs w:val="24"/>
          <w:lang w:val="en-GB"/>
        </w:rPr>
        <w:t>-</w:t>
      </w:r>
      <w:r w:rsidRPr="00247141">
        <w:rPr>
          <w:lang w:val="en-GB"/>
        </w:rPr>
        <w:t xml:space="preserve"> </w:t>
      </w:r>
      <w:r w:rsidRPr="00247141">
        <w:rPr>
          <w:sz w:val="24"/>
          <w:szCs w:val="24"/>
          <w:lang w:val="en-GB"/>
        </w:rPr>
        <w:t>Landau, David,</w:t>
      </w:r>
      <w:r w:rsidR="007907EB" w:rsidRPr="00247141">
        <w:rPr>
          <w:sz w:val="24"/>
          <w:szCs w:val="24"/>
          <w:lang w:val="en-GB"/>
        </w:rPr>
        <w:t xml:space="preserve"> Abusive Judicial Review, University of California, Davis (Vol. 53:1313) , s.1317vd.</w:t>
      </w:r>
    </w:p>
    <w:p w14:paraId="1AF95993" w14:textId="421D12FF" w:rsidR="00684291" w:rsidRPr="00247141" w:rsidRDefault="00684291" w:rsidP="00006B73">
      <w:pPr>
        <w:jc w:val="both"/>
        <w:rPr>
          <w:sz w:val="24"/>
          <w:szCs w:val="24"/>
        </w:rPr>
      </w:pPr>
      <w:r w:rsidRPr="00247141">
        <w:rPr>
          <w:sz w:val="24"/>
          <w:szCs w:val="24"/>
        </w:rPr>
        <w:t>-</w:t>
      </w:r>
      <w:r w:rsidRPr="00247141">
        <w:t xml:space="preserve"> </w:t>
      </w:r>
      <w:r w:rsidRPr="00247141">
        <w:rPr>
          <w:sz w:val="24"/>
          <w:szCs w:val="24"/>
        </w:rPr>
        <w:t>Majer, Diemut Ein halbierter Rechtstaat für Ostdeutschland- Unterschiedliche Kriterien bei der Überprüfung von Angehörigen des öffentlichen Dienstes der ehemaligen DDR, Kritische Justiz Vol. 25, No. 2 (1992),  s.173</w:t>
      </w:r>
    </w:p>
    <w:p w14:paraId="2C8905C4" w14:textId="4E92F187" w:rsidR="007907EB" w:rsidRPr="00247141" w:rsidRDefault="007907EB" w:rsidP="00006B73">
      <w:pPr>
        <w:jc w:val="both"/>
        <w:rPr>
          <w:sz w:val="24"/>
          <w:szCs w:val="24"/>
        </w:rPr>
      </w:pPr>
      <w:r w:rsidRPr="00247141">
        <w:rPr>
          <w:sz w:val="24"/>
          <w:szCs w:val="24"/>
        </w:rPr>
        <w:t>-</w:t>
      </w:r>
      <w:r w:rsidRPr="00247141">
        <w:t xml:space="preserve"> </w:t>
      </w:r>
      <w:r w:rsidRPr="00247141">
        <w:rPr>
          <w:sz w:val="24"/>
          <w:szCs w:val="24"/>
        </w:rPr>
        <w:t xml:space="preserve">Molu, Benan, AYM ve İHAM Kararlarıyla Avukatlara Yönelik Yargı Tacizi ve Çoklu Baro Değişikliği Teklifi, </w:t>
      </w:r>
      <w:hyperlink r:id="rId10" w:anchor="_ftnref11" w:history="1">
        <w:r w:rsidRPr="00247141">
          <w:rPr>
            <w:rStyle w:val="Hyperlink"/>
            <w:color w:val="auto"/>
            <w:sz w:val="24"/>
            <w:szCs w:val="24"/>
          </w:rPr>
          <w:t>https://anayasagundemi.com/2020/07/03/forum-av-benan-molu-aym-ve-iham-kararlariyla-avukatlara-yonelik-yargi-tacizi-ve-coklu-baro-degisikligi-teklifi/#_ftnref11</w:t>
        </w:r>
      </w:hyperlink>
      <w:r w:rsidRPr="00247141">
        <w:rPr>
          <w:sz w:val="24"/>
          <w:szCs w:val="24"/>
        </w:rPr>
        <w:t xml:space="preserve">    (Erişim tarihi:11.10.2021) </w:t>
      </w:r>
    </w:p>
    <w:p w14:paraId="12732FFC" w14:textId="1997128F" w:rsidR="00BC0905" w:rsidRPr="00247141" w:rsidRDefault="00BC0905" w:rsidP="00BC0905">
      <w:pPr>
        <w:jc w:val="both"/>
        <w:rPr>
          <w:sz w:val="24"/>
          <w:szCs w:val="24"/>
        </w:rPr>
      </w:pPr>
      <w:r w:rsidRPr="00247141">
        <w:rPr>
          <w:sz w:val="24"/>
          <w:szCs w:val="24"/>
        </w:rPr>
        <w:t>-Özenç, Berke, Hukuk Devleti-Kökenleri ve Küreselleşme Çağındaki İşlevi, İletişim Yayınevi, İstanbul 2020, 3. Bası</w:t>
      </w:r>
      <w:r w:rsidR="005D5CB3" w:rsidRPr="00247141">
        <w:rPr>
          <w:sz w:val="24"/>
          <w:szCs w:val="24"/>
        </w:rPr>
        <w:t>.</w:t>
      </w:r>
    </w:p>
    <w:p w14:paraId="53AFAD72" w14:textId="3334A728" w:rsidR="004506A0" w:rsidRPr="00247141" w:rsidRDefault="004506A0" w:rsidP="00BC0905">
      <w:pPr>
        <w:jc w:val="both"/>
        <w:rPr>
          <w:sz w:val="24"/>
          <w:szCs w:val="24"/>
        </w:rPr>
      </w:pPr>
      <w:r w:rsidRPr="00247141">
        <w:rPr>
          <w:sz w:val="24"/>
          <w:szCs w:val="24"/>
        </w:rPr>
        <w:t>- Sağlam, Fazıl, Anayasa Değişikliklerinde Hâkimler ve Savcılar (Yüksek) Kurulu’nun Konumu, Güncel Hukuk, Mart 2017, s.42-44.</w:t>
      </w:r>
    </w:p>
    <w:p w14:paraId="34AF46B4" w14:textId="4C997483" w:rsidR="005A7419" w:rsidRPr="00247141" w:rsidRDefault="005A7419" w:rsidP="00BC0905">
      <w:pPr>
        <w:jc w:val="both"/>
        <w:rPr>
          <w:sz w:val="24"/>
          <w:szCs w:val="24"/>
        </w:rPr>
      </w:pPr>
      <w:r w:rsidRPr="00247141">
        <w:rPr>
          <w:sz w:val="24"/>
          <w:szCs w:val="24"/>
        </w:rPr>
        <w:t>-</w:t>
      </w:r>
      <w:r w:rsidRPr="00247141">
        <w:t xml:space="preserve"> </w:t>
      </w:r>
      <w:r w:rsidRPr="00247141">
        <w:rPr>
          <w:sz w:val="24"/>
          <w:szCs w:val="24"/>
        </w:rPr>
        <w:t>Scho</w:t>
      </w:r>
      <w:r w:rsidR="00076EE1" w:rsidRPr="00247141">
        <w:rPr>
          <w:sz w:val="24"/>
          <w:szCs w:val="24"/>
        </w:rPr>
        <w:t>r</w:t>
      </w:r>
      <w:r w:rsidRPr="00247141">
        <w:rPr>
          <w:sz w:val="24"/>
          <w:szCs w:val="24"/>
        </w:rPr>
        <w:t>n, Hubert, Der Richter im dritten Reich- Geschichte und Dokumente, Verlag Vittorio Klostermann, Frankfurt Am Main 1959</w:t>
      </w:r>
      <w:r w:rsidR="00076EE1" w:rsidRPr="00247141">
        <w:rPr>
          <w:sz w:val="24"/>
          <w:szCs w:val="24"/>
        </w:rPr>
        <w:t>.</w:t>
      </w:r>
    </w:p>
    <w:p w14:paraId="526C258B" w14:textId="080D33E4" w:rsidR="005E5CEC" w:rsidRPr="00247141" w:rsidRDefault="005E5CEC" w:rsidP="00BC0905">
      <w:pPr>
        <w:jc w:val="both"/>
        <w:rPr>
          <w:sz w:val="24"/>
          <w:szCs w:val="24"/>
        </w:rPr>
      </w:pPr>
      <w:r w:rsidRPr="00247141">
        <w:rPr>
          <w:sz w:val="24"/>
          <w:szCs w:val="24"/>
        </w:rPr>
        <w:t>-</w:t>
      </w:r>
      <w:r w:rsidRPr="00247141">
        <w:t xml:space="preserve"> </w:t>
      </w:r>
      <w:r w:rsidRPr="00247141">
        <w:rPr>
          <w:sz w:val="24"/>
          <w:szCs w:val="24"/>
        </w:rPr>
        <w:t>Schulz, Loren, Rechtsbeugung und Mißbrauch staatlicher Macht, StV 1995, s.206vd.</w:t>
      </w:r>
    </w:p>
    <w:p w14:paraId="427A7076" w14:textId="6778AE5C" w:rsidR="00F25124" w:rsidRPr="00247141" w:rsidRDefault="00F25124" w:rsidP="00BC0905">
      <w:pPr>
        <w:jc w:val="both"/>
        <w:rPr>
          <w:sz w:val="24"/>
          <w:szCs w:val="24"/>
        </w:rPr>
      </w:pPr>
      <w:r w:rsidRPr="00247141">
        <w:rPr>
          <w:sz w:val="24"/>
          <w:szCs w:val="24"/>
        </w:rPr>
        <w:lastRenderedPageBreak/>
        <w:t>-</w:t>
      </w:r>
      <w:r w:rsidRPr="00247141">
        <w:t xml:space="preserve"> </w:t>
      </w:r>
      <w:r w:rsidRPr="00247141">
        <w:rPr>
          <w:sz w:val="24"/>
          <w:szCs w:val="24"/>
        </w:rPr>
        <w:t>Sever, Çiğdem, Çoklu Baro: Kamu Tüzel Kişiliği Kavramı Üzerinden Bir Analiz, Hukuk Defterleri, Sayı 26-27(Temmuz-Ekim),   https://hukukdefterleri.com/coklu-baro-kamu-tuzel-kisiligi-kavrami-uzerinden-bir-analiz/</w:t>
      </w:r>
    </w:p>
    <w:p w14:paraId="6C632F5E" w14:textId="43B7A0BF" w:rsidR="001C4459" w:rsidRPr="00247141" w:rsidRDefault="001C4459" w:rsidP="00BC0905">
      <w:pPr>
        <w:jc w:val="both"/>
        <w:rPr>
          <w:sz w:val="24"/>
          <w:szCs w:val="24"/>
        </w:rPr>
      </w:pPr>
      <w:r w:rsidRPr="00247141">
        <w:rPr>
          <w:sz w:val="24"/>
          <w:szCs w:val="24"/>
        </w:rPr>
        <w:t>-Shirvani, Foroud: Die Bundes-und Reichsexekution in der neueren deutschen Verfassungsgeschichte, Der Staat 50 (2011), S.102-121.</w:t>
      </w:r>
    </w:p>
    <w:p w14:paraId="17C3C73A" w14:textId="29986806" w:rsidR="00BC0905" w:rsidRPr="00247141" w:rsidRDefault="00BC0905" w:rsidP="00BC0905">
      <w:pPr>
        <w:jc w:val="both"/>
        <w:rPr>
          <w:sz w:val="24"/>
          <w:szCs w:val="24"/>
        </w:rPr>
      </w:pPr>
      <w:r w:rsidRPr="00247141">
        <w:rPr>
          <w:sz w:val="24"/>
          <w:szCs w:val="24"/>
        </w:rPr>
        <w:t>- Sobota, Katharina, Das Prinzip Rechtstaat, Mohr Siebeck Verlag, Tübingen 1995.</w:t>
      </w:r>
    </w:p>
    <w:p w14:paraId="56DB8459" w14:textId="17ACED64" w:rsidR="008112F8" w:rsidRPr="00247141" w:rsidRDefault="008112F8" w:rsidP="00BC0905">
      <w:pPr>
        <w:jc w:val="both"/>
        <w:rPr>
          <w:sz w:val="24"/>
          <w:szCs w:val="24"/>
        </w:rPr>
      </w:pPr>
      <w:r w:rsidRPr="00247141">
        <w:rPr>
          <w:sz w:val="24"/>
          <w:szCs w:val="24"/>
        </w:rPr>
        <w:t>-Şirin, Tolga/ Duymaz; Sınırlı İktidardan Uzatmalı Başkanlığa: Devlet Başkanlığı Dönem Sınırlamaları Hakkında Karşılaştırmalı Bir İnceleme, Anayasa Hukuku Dergisi - Cilt: 10/Sayı:19/Yıl:2021, s.29-92.</w:t>
      </w:r>
    </w:p>
    <w:p w14:paraId="601BD205" w14:textId="561BE49E" w:rsidR="00FA62EA" w:rsidRPr="00247141" w:rsidRDefault="00FA62EA" w:rsidP="00BC0905">
      <w:pPr>
        <w:jc w:val="both"/>
        <w:rPr>
          <w:sz w:val="24"/>
          <w:szCs w:val="24"/>
        </w:rPr>
      </w:pPr>
      <w:r w:rsidRPr="00247141">
        <w:rPr>
          <w:sz w:val="24"/>
          <w:szCs w:val="24"/>
        </w:rPr>
        <w:t>-</w:t>
      </w:r>
      <w:r w:rsidRPr="00247141">
        <w:t xml:space="preserve"> </w:t>
      </w:r>
      <w:r w:rsidRPr="00247141">
        <w:rPr>
          <w:sz w:val="24"/>
          <w:szCs w:val="24"/>
        </w:rPr>
        <w:t>Şirin, Bireysel Başvuru, Toplumsal Karar ve Anayasal Diyalog: Zübeyde Füsun Üstel ve Diğerleri Kararı, Anayasa Hukuku Dergisi - Cilt: 8/Sayı:16/ Yıl:2019, s. 474.</w:t>
      </w:r>
    </w:p>
    <w:p w14:paraId="071E5FD0" w14:textId="7C0CEB31" w:rsidR="009B6A91" w:rsidRPr="00247141" w:rsidRDefault="009B6A91" w:rsidP="00BC0905">
      <w:pPr>
        <w:jc w:val="both"/>
        <w:rPr>
          <w:sz w:val="24"/>
          <w:szCs w:val="24"/>
        </w:rPr>
      </w:pPr>
      <w:r w:rsidRPr="00247141">
        <w:rPr>
          <w:sz w:val="24"/>
          <w:szCs w:val="24"/>
        </w:rPr>
        <w:t>-</w:t>
      </w:r>
      <w:r w:rsidRPr="00247141">
        <w:t xml:space="preserve"> </w:t>
      </w:r>
      <w:r w:rsidRPr="00247141">
        <w:rPr>
          <w:sz w:val="24"/>
          <w:szCs w:val="24"/>
        </w:rPr>
        <w:t>Topuzkanamış, Şafak Evran, Karşılaştırmalı Anayasa Hukukuna Halka Ait Anayasacılık, Oniki Levha Yayınları, 2. Bası, İstanbul 2021.</w:t>
      </w:r>
    </w:p>
    <w:p w14:paraId="2D03D33A" w14:textId="2A31E272" w:rsidR="00F25124" w:rsidRPr="00247141" w:rsidRDefault="00F25124" w:rsidP="00BC0905">
      <w:pPr>
        <w:jc w:val="both"/>
        <w:rPr>
          <w:sz w:val="24"/>
          <w:szCs w:val="24"/>
        </w:rPr>
      </w:pPr>
      <w:r w:rsidRPr="00247141">
        <w:rPr>
          <w:sz w:val="24"/>
          <w:szCs w:val="24"/>
        </w:rPr>
        <w:t>-</w:t>
      </w:r>
      <w:r w:rsidRPr="00247141">
        <w:t xml:space="preserve"> </w:t>
      </w:r>
      <w:r w:rsidRPr="00247141">
        <w:rPr>
          <w:sz w:val="24"/>
          <w:szCs w:val="24"/>
        </w:rPr>
        <w:t>Thiele, Alexander, Der konstutierte Staat- Eine Verfassungsgeschichte der Neuzeit, Campus Verlag,  Maerz 2021.</w:t>
      </w:r>
    </w:p>
    <w:p w14:paraId="56C8EAAE" w14:textId="599A407E" w:rsidR="00F25124" w:rsidRPr="00247141" w:rsidRDefault="00F25124" w:rsidP="00BC0905">
      <w:pPr>
        <w:jc w:val="both"/>
        <w:rPr>
          <w:sz w:val="24"/>
          <w:szCs w:val="24"/>
        </w:rPr>
      </w:pPr>
      <w:r w:rsidRPr="00247141">
        <w:rPr>
          <w:sz w:val="24"/>
          <w:szCs w:val="24"/>
        </w:rPr>
        <w:t>-</w:t>
      </w:r>
      <w:r w:rsidRPr="00247141">
        <w:t xml:space="preserve"> </w:t>
      </w:r>
      <w:r w:rsidRPr="00247141">
        <w:rPr>
          <w:sz w:val="24"/>
          <w:szCs w:val="24"/>
        </w:rPr>
        <w:t>Türkeli, Gözde, Schmitt ve Kelsen’in Görüşleri Ekseninde Anayasanın Koruyuculuğu Tartışması, Marmara Üniversitesi Hukuk Fakültesi Hukuk Araştırmaları Dergisi-Arşiv/Cilt 26, Sayı 2, s. 980-1005</w:t>
      </w:r>
      <w:r w:rsidR="00A8480A" w:rsidRPr="00247141">
        <w:rPr>
          <w:sz w:val="24"/>
          <w:szCs w:val="24"/>
        </w:rPr>
        <w:t>.</w:t>
      </w:r>
    </w:p>
    <w:p w14:paraId="0DA8FC71" w14:textId="6562F512" w:rsidR="00A8480A" w:rsidRPr="00247141" w:rsidRDefault="00A8480A" w:rsidP="00BC0905">
      <w:pPr>
        <w:jc w:val="both"/>
        <w:rPr>
          <w:sz w:val="24"/>
          <w:szCs w:val="24"/>
        </w:rPr>
      </w:pPr>
      <w:r w:rsidRPr="00247141">
        <w:rPr>
          <w:sz w:val="24"/>
          <w:szCs w:val="24"/>
        </w:rPr>
        <w:t>-</w:t>
      </w:r>
      <w:r w:rsidRPr="00247141">
        <w:t xml:space="preserve"> </w:t>
      </w:r>
      <w:r w:rsidRPr="00247141">
        <w:rPr>
          <w:sz w:val="24"/>
          <w:szCs w:val="24"/>
        </w:rPr>
        <w:t>Triepel, Heinrich, Die Entscheidung des Staatsgerichtshofs im Verfassungsstreit zwischen Preußen und dem Reiche, Deutsche Juristische Zeitung 1932, s. 1501vd.</w:t>
      </w:r>
    </w:p>
    <w:p w14:paraId="2060982C" w14:textId="34E852AD" w:rsidR="00B74A37" w:rsidRPr="00247141" w:rsidRDefault="00B74A37" w:rsidP="00BC0905">
      <w:pPr>
        <w:jc w:val="both"/>
        <w:rPr>
          <w:sz w:val="24"/>
          <w:szCs w:val="24"/>
          <w:lang w:val="en-GB"/>
        </w:rPr>
      </w:pPr>
      <w:r w:rsidRPr="00247141">
        <w:rPr>
          <w:sz w:val="24"/>
          <w:szCs w:val="24"/>
          <w:lang w:val="en-GB"/>
        </w:rPr>
        <w:t>- Quint, Peter</w:t>
      </w:r>
      <w:r w:rsidR="00B7658A" w:rsidRPr="00247141">
        <w:rPr>
          <w:sz w:val="24"/>
          <w:szCs w:val="24"/>
          <w:lang w:val="en-GB"/>
        </w:rPr>
        <w:t xml:space="preserve"> E,</w:t>
      </w:r>
      <w:r w:rsidRPr="00247141">
        <w:rPr>
          <w:sz w:val="24"/>
          <w:szCs w:val="24"/>
          <w:lang w:val="en-GB"/>
        </w:rPr>
        <w:t xml:space="preserve"> The Imperfect Union: Constutional Structures of German Unification, Princeton University Press,West Susxex 1997, s.184vd.</w:t>
      </w:r>
    </w:p>
    <w:p w14:paraId="58CA843B" w14:textId="53C7F122" w:rsidR="00F25124" w:rsidRPr="00247141" w:rsidRDefault="00F25124" w:rsidP="00BC0905">
      <w:pPr>
        <w:jc w:val="both"/>
        <w:rPr>
          <w:sz w:val="24"/>
          <w:szCs w:val="24"/>
        </w:rPr>
      </w:pPr>
      <w:r w:rsidRPr="00247141">
        <w:rPr>
          <w:sz w:val="24"/>
          <w:szCs w:val="24"/>
        </w:rPr>
        <w:t>-Weber,</w:t>
      </w:r>
      <w:r w:rsidRPr="00247141">
        <w:t xml:space="preserve"> </w:t>
      </w:r>
      <w:r w:rsidRPr="00247141">
        <w:rPr>
          <w:sz w:val="24"/>
          <w:szCs w:val="24"/>
        </w:rPr>
        <w:t>Klaus Dieter, Das Büro des Reichspräsidenten 1919-1934, Peter Lang Verlag, s.41.</w:t>
      </w:r>
    </w:p>
    <w:p w14:paraId="387A7B85" w14:textId="13B3F006" w:rsidR="00F25124" w:rsidRPr="00247141" w:rsidRDefault="00F25124" w:rsidP="00BC0905">
      <w:pPr>
        <w:jc w:val="both"/>
        <w:rPr>
          <w:sz w:val="24"/>
          <w:szCs w:val="24"/>
        </w:rPr>
      </w:pPr>
      <w:r w:rsidRPr="00247141">
        <w:rPr>
          <w:sz w:val="24"/>
          <w:szCs w:val="24"/>
        </w:rPr>
        <w:t>-</w:t>
      </w:r>
      <w:r w:rsidRPr="00247141">
        <w:t xml:space="preserve"> </w:t>
      </w:r>
      <w:r w:rsidRPr="00247141">
        <w:rPr>
          <w:sz w:val="24"/>
          <w:szCs w:val="24"/>
        </w:rPr>
        <w:t>Yüzbaşıoğlu, Necmi, Hakimler ve Savcılar Yüksek Kurulunun Yeni Yapılanması ve İşleyişi İle Bu Süreçte Anayasa Mahkemesinin Tutumu Üzerine Bir Değerlendirme’’, GÜHFD- Doç. Dr. Melike Batur Yamaner’in Anısına Armağan, s.727vd.</w:t>
      </w:r>
    </w:p>
    <w:p w14:paraId="0494629C" w14:textId="007F446F" w:rsidR="00062259" w:rsidRPr="00247141" w:rsidRDefault="00062259" w:rsidP="00CD196E">
      <w:pPr>
        <w:jc w:val="both"/>
        <w:rPr>
          <w:sz w:val="24"/>
          <w:szCs w:val="24"/>
        </w:rPr>
      </w:pPr>
    </w:p>
    <w:sectPr w:rsidR="00062259" w:rsidRPr="002471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8F45B" w14:textId="77777777" w:rsidR="001E270B" w:rsidRDefault="001E270B" w:rsidP="00E56150">
      <w:pPr>
        <w:spacing w:after="0" w:line="240" w:lineRule="auto"/>
      </w:pPr>
      <w:r>
        <w:separator/>
      </w:r>
    </w:p>
  </w:endnote>
  <w:endnote w:type="continuationSeparator" w:id="0">
    <w:p w14:paraId="798D83AA" w14:textId="77777777" w:rsidR="001E270B" w:rsidRDefault="001E270B" w:rsidP="00E56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95750" w14:textId="77777777" w:rsidR="001E270B" w:rsidRDefault="001E270B" w:rsidP="00E56150">
      <w:pPr>
        <w:spacing w:after="0" w:line="240" w:lineRule="auto"/>
      </w:pPr>
      <w:r>
        <w:separator/>
      </w:r>
    </w:p>
  </w:footnote>
  <w:footnote w:type="continuationSeparator" w:id="0">
    <w:p w14:paraId="4757B696" w14:textId="77777777" w:rsidR="001E270B" w:rsidRDefault="001E270B" w:rsidP="00E56150">
      <w:pPr>
        <w:spacing w:after="0" w:line="240" w:lineRule="auto"/>
      </w:pPr>
      <w:r>
        <w:continuationSeparator/>
      </w:r>
    </w:p>
  </w:footnote>
  <w:footnote w:id="1">
    <w:p w14:paraId="50E17A4D" w14:textId="4B8F39B3" w:rsidR="00EF477F" w:rsidRDefault="00EF477F" w:rsidP="0028341F">
      <w:pPr>
        <w:pStyle w:val="FootnoteText"/>
        <w:jc w:val="both"/>
        <w:rPr>
          <w:lang w:val="en-GB"/>
        </w:rPr>
      </w:pPr>
      <w:r>
        <w:rPr>
          <w:rStyle w:val="FootnoteReference"/>
        </w:rPr>
        <w:footnoteRef/>
      </w:r>
      <w:r w:rsidRPr="00EF477F">
        <w:rPr>
          <w:lang w:val="en-GB"/>
        </w:rPr>
        <w:t xml:space="preserve"> İzmir Bakırçay Üniversitesi Hukuk Fakültesi A</w:t>
      </w:r>
      <w:r>
        <w:rPr>
          <w:lang w:val="en-GB"/>
        </w:rPr>
        <w:t>nayasa Hukuku Anabilim Dalı.</w:t>
      </w:r>
    </w:p>
    <w:p w14:paraId="50A55F8B" w14:textId="4005C25E" w:rsidR="00EF477F" w:rsidRPr="00EF477F" w:rsidRDefault="001E270B" w:rsidP="0028341F">
      <w:pPr>
        <w:pStyle w:val="FootnoteText"/>
        <w:jc w:val="both"/>
        <w:rPr>
          <w:lang w:val="en-GB"/>
        </w:rPr>
      </w:pPr>
      <w:hyperlink r:id="rId1" w:history="1">
        <w:r w:rsidR="00EF477F" w:rsidRPr="00107D1C">
          <w:rPr>
            <w:rStyle w:val="Hyperlink"/>
            <w:lang w:val="en-GB"/>
          </w:rPr>
          <w:t>mert.duygun@bakircay.edu.tr</w:t>
        </w:r>
      </w:hyperlink>
      <w:r w:rsidR="00EF477F">
        <w:rPr>
          <w:lang w:val="en-GB"/>
        </w:rPr>
        <w:t xml:space="preserve"> </w:t>
      </w:r>
    </w:p>
  </w:footnote>
  <w:footnote w:id="2">
    <w:p w14:paraId="33C682E7" w14:textId="3189F9C8" w:rsidR="00361C81" w:rsidRPr="00361C81" w:rsidRDefault="00361C81">
      <w:pPr>
        <w:pStyle w:val="FootnoteText"/>
        <w:rPr>
          <w:lang w:val="en-GB"/>
        </w:rPr>
      </w:pPr>
      <w:r>
        <w:rPr>
          <w:rStyle w:val="FootnoteReference"/>
        </w:rPr>
        <w:footnoteRef/>
      </w:r>
      <w:r w:rsidRPr="00361C81">
        <w:rPr>
          <w:lang w:val="en-GB"/>
        </w:rPr>
        <w:t xml:space="preserve"> </w:t>
      </w:r>
      <w:r>
        <w:rPr>
          <w:lang w:val="en-GB"/>
        </w:rPr>
        <w:t xml:space="preserve">Alıntısı yapılan bu sözü II. </w:t>
      </w:r>
      <w:r w:rsidRPr="00361C81">
        <w:rPr>
          <w:lang w:val="en-GB"/>
        </w:rPr>
        <w:t>Dünya Savaşı sonrasında Baden-Wüttenberg Ba</w:t>
      </w:r>
      <w:r>
        <w:rPr>
          <w:lang w:val="en-GB"/>
        </w:rPr>
        <w:t>şbakanı Hans Bilfinger söylemiştir.</w:t>
      </w:r>
    </w:p>
  </w:footnote>
  <w:footnote w:id="3">
    <w:p w14:paraId="6542EE9B" w14:textId="47F63FFD" w:rsidR="005E5CEC" w:rsidRPr="005E5CEC" w:rsidRDefault="005E5CEC">
      <w:pPr>
        <w:pStyle w:val="FootnoteText"/>
      </w:pPr>
      <w:r>
        <w:rPr>
          <w:rStyle w:val="FootnoteReference"/>
        </w:rPr>
        <w:footnoteRef/>
      </w:r>
      <w:r w:rsidRPr="005E5CEC">
        <w:rPr>
          <w:lang w:val="en-GB"/>
        </w:rPr>
        <w:t xml:space="preserve"> </w:t>
      </w:r>
      <w:r>
        <w:rPr>
          <w:lang w:val="en-GB"/>
        </w:rPr>
        <w:t>Hukuk devletine ilişkin temel tartışmalar  için bkz.</w:t>
      </w:r>
      <w:r w:rsidRPr="005E5CEC">
        <w:rPr>
          <w:lang w:val="en-GB"/>
        </w:rPr>
        <w:t xml:space="preserve"> Berke</w:t>
      </w:r>
      <w:r>
        <w:rPr>
          <w:lang w:val="en-GB"/>
        </w:rPr>
        <w:t xml:space="preserve"> Özenç</w:t>
      </w:r>
      <w:r w:rsidRPr="005E5CEC">
        <w:rPr>
          <w:lang w:val="en-GB"/>
        </w:rPr>
        <w:t xml:space="preserve">, Hukuk Devleti-Kökenleri ve Küreselleşme Çağındaki İşlevi, İletişim Yayınevi, İstanbul 2020, 3. </w:t>
      </w:r>
      <w:r w:rsidRPr="005E5CEC">
        <w:t>Bası; Katharina So</w:t>
      </w:r>
      <w:r>
        <w:t>bota</w:t>
      </w:r>
      <w:r w:rsidRPr="005E5CEC">
        <w:t>, Das Prinzip Recht</w:t>
      </w:r>
      <w:r w:rsidR="009159B5">
        <w:t>s</w:t>
      </w:r>
      <w:r w:rsidRPr="005E5CEC">
        <w:t>taat, Mohr Siebeck Verlag, Tübingen 1995</w:t>
      </w:r>
      <w:r>
        <w:t>.</w:t>
      </w:r>
    </w:p>
  </w:footnote>
  <w:footnote w:id="4">
    <w:p w14:paraId="00F409FF" w14:textId="680B927B" w:rsidR="00062259" w:rsidRPr="00906299" w:rsidRDefault="00062259">
      <w:pPr>
        <w:pStyle w:val="FootnoteText"/>
      </w:pPr>
      <w:r>
        <w:rPr>
          <w:rStyle w:val="FootnoteReference"/>
        </w:rPr>
        <w:footnoteRef/>
      </w:r>
      <w:r w:rsidRPr="00906299">
        <w:t xml:space="preserve"> Nitekim erkler ayrılığı tezini ilk olarak 17. yüzyılda ortaya koyan Locke, yargıdan bağımsız ve üçüncü bir kuvvet olarak söz etmemiştir. Bkz. Jean </w:t>
      </w:r>
      <w:bookmarkStart w:id="1" w:name="_Hlk73702880"/>
      <w:r w:rsidRPr="00906299">
        <w:t>Didier, John Locke, Çev. Atakan Altınörs, Pinhan Yayıncılık, İstanbul 2019, s. 58.</w:t>
      </w:r>
    </w:p>
    <w:bookmarkEnd w:id="1"/>
  </w:footnote>
  <w:footnote w:id="5">
    <w:p w14:paraId="6341FB30" w14:textId="2DC2B454" w:rsidR="006908B2" w:rsidRPr="006908B2" w:rsidRDefault="006908B2" w:rsidP="0028341F">
      <w:pPr>
        <w:pStyle w:val="FootnoteText"/>
        <w:jc w:val="both"/>
        <w:rPr>
          <w:lang w:val="tr-TR"/>
        </w:rPr>
      </w:pPr>
      <w:r>
        <w:rPr>
          <w:rStyle w:val="FootnoteReference"/>
        </w:rPr>
        <w:footnoteRef/>
      </w:r>
      <w:r>
        <w:t xml:space="preserve"> Bkz. </w:t>
      </w:r>
      <w:r>
        <w:rPr>
          <w:lang w:val="tr-TR"/>
        </w:rPr>
        <w:t xml:space="preserve">Rudolf Henning, Rechtstaat und Richterstaat, </w:t>
      </w:r>
      <w:r w:rsidRPr="006908B2">
        <w:rPr>
          <w:lang w:val="tr-TR"/>
        </w:rPr>
        <w:t>JCSW 03 (1962)</w:t>
      </w:r>
      <w:r>
        <w:rPr>
          <w:lang w:val="tr-TR"/>
        </w:rPr>
        <w:t>, s. 182.</w:t>
      </w:r>
    </w:p>
  </w:footnote>
  <w:footnote w:id="6">
    <w:p w14:paraId="05CF024A" w14:textId="122C5E7D" w:rsidR="00C15CBA" w:rsidRPr="00C15CBA" w:rsidRDefault="00C15CBA" w:rsidP="0028341F">
      <w:pPr>
        <w:pStyle w:val="FootnoteText"/>
        <w:jc w:val="both"/>
        <w:rPr>
          <w:lang w:val="tr-TR"/>
        </w:rPr>
      </w:pPr>
      <w:r>
        <w:rPr>
          <w:rStyle w:val="FootnoteReference"/>
        </w:rPr>
        <w:footnoteRef/>
      </w:r>
      <w:r w:rsidRPr="00C15CBA">
        <w:rPr>
          <w:lang w:val="tr-TR"/>
        </w:rPr>
        <w:t xml:space="preserve"> </w:t>
      </w:r>
      <w:r>
        <w:rPr>
          <w:lang w:val="tr-TR"/>
        </w:rPr>
        <w:t xml:space="preserve">Bu hususta istisnai bir monografi için bkz. Hans Peter Graver, </w:t>
      </w:r>
      <w:r w:rsidRPr="00C15CBA">
        <w:rPr>
          <w:lang w:val="tr-TR"/>
        </w:rPr>
        <w:t>Judges Against Justice</w:t>
      </w:r>
      <w:r w:rsidR="00006B73">
        <w:rPr>
          <w:lang w:val="tr-TR"/>
        </w:rPr>
        <w:t xml:space="preserve"> </w:t>
      </w:r>
      <w:r w:rsidRPr="00C15CBA">
        <w:rPr>
          <w:lang w:val="tr-TR"/>
        </w:rPr>
        <w:t>On Judges When the Rule of Law is Under Attack</w:t>
      </w:r>
      <w:r>
        <w:rPr>
          <w:lang w:val="tr-TR"/>
        </w:rPr>
        <w:t>, Springer Verlag</w:t>
      </w:r>
      <w:r w:rsidR="00062259">
        <w:rPr>
          <w:lang w:val="tr-TR"/>
        </w:rPr>
        <w:t>,</w:t>
      </w:r>
      <w:r>
        <w:rPr>
          <w:lang w:val="tr-TR"/>
        </w:rPr>
        <w:t xml:space="preserve"> Heidelberg 2015.</w:t>
      </w:r>
      <w:r w:rsidR="00B75ED4">
        <w:rPr>
          <w:lang w:val="tr-TR"/>
        </w:rPr>
        <w:t xml:space="preserve"> Tersinden yargıçların  “suistimalci anayasacılığı engellemekte” başarısız olduğuna ilişkin tez için bkz. David Landau</w:t>
      </w:r>
      <w:r w:rsidR="00B152E2">
        <w:rPr>
          <w:lang w:val="tr-TR"/>
        </w:rPr>
        <w:t>/Rosalind  Dixon</w:t>
      </w:r>
      <w:r w:rsidR="00B75ED4">
        <w:rPr>
          <w:lang w:val="tr-TR"/>
        </w:rPr>
        <w:t>,</w:t>
      </w:r>
      <w:r w:rsidR="00A35F55">
        <w:rPr>
          <w:lang w:val="tr-TR"/>
        </w:rPr>
        <w:t xml:space="preserve"> </w:t>
      </w:r>
      <w:r w:rsidR="00A35F55" w:rsidRPr="00A35F55">
        <w:rPr>
          <w:lang w:val="tr-TR"/>
        </w:rPr>
        <w:t>Abusive Judicial Review</w:t>
      </w:r>
      <w:r w:rsidR="00A35F55">
        <w:rPr>
          <w:lang w:val="tr-TR"/>
        </w:rPr>
        <w:t>,</w:t>
      </w:r>
      <w:r w:rsidR="00A35F55" w:rsidRPr="004C79B5">
        <w:rPr>
          <w:lang w:val="tr-TR"/>
        </w:rPr>
        <w:t xml:space="preserve"> </w:t>
      </w:r>
      <w:r w:rsidR="00A35F55" w:rsidRPr="00A35F55">
        <w:rPr>
          <w:lang w:val="tr-TR"/>
        </w:rPr>
        <w:t xml:space="preserve">University of California, Davis </w:t>
      </w:r>
      <w:r w:rsidR="00A35F55">
        <w:rPr>
          <w:lang w:val="tr-TR"/>
        </w:rPr>
        <w:t>(</w:t>
      </w:r>
      <w:r w:rsidR="00A35F55" w:rsidRPr="00A35F55">
        <w:rPr>
          <w:lang w:val="tr-TR"/>
        </w:rPr>
        <w:t>Vol. 53:1313</w:t>
      </w:r>
      <w:r w:rsidR="00A35F55">
        <w:rPr>
          <w:lang w:val="tr-TR"/>
        </w:rPr>
        <w:t>)</w:t>
      </w:r>
      <w:r w:rsidR="00A35F55" w:rsidRPr="00A35F55">
        <w:rPr>
          <w:lang w:val="tr-TR"/>
        </w:rPr>
        <w:t xml:space="preserve"> </w:t>
      </w:r>
      <w:r w:rsidR="00A35F55">
        <w:rPr>
          <w:lang w:val="tr-TR"/>
        </w:rPr>
        <w:t>, s.1317vd.</w:t>
      </w:r>
      <w:r w:rsidR="00806180">
        <w:rPr>
          <w:lang w:val="tr-TR"/>
        </w:rPr>
        <w:t xml:space="preserve"> Nasyonal Sosyalist diktatörlükte  hukuksuzluk devletinin bir aygıtı olarak </w:t>
      </w:r>
      <w:r w:rsidR="004C79B5">
        <w:rPr>
          <w:lang w:val="tr-TR"/>
        </w:rPr>
        <w:t xml:space="preserve"> hukuki yöntemlerin yargıçlarca nasıl kullanıldığına ilişkin bkz.</w:t>
      </w:r>
      <w:r w:rsidR="00BD0E46">
        <w:rPr>
          <w:lang w:val="tr-TR"/>
        </w:rPr>
        <w:t xml:space="preserve"> Helmut Kramer, Zum Gebrauch und Missbrauch der juristischen Methode zur Stabilisierung(nicht nur) totalitarer Systeme,</w:t>
      </w:r>
      <w:r w:rsidR="00730540">
        <w:rPr>
          <w:lang w:val="tr-TR"/>
        </w:rPr>
        <w:t>in : Die Unabhaengigkeit des Richters( Hrsg: Holzwarth/Lamprecht/Schalk/Spaeth/Zech),</w:t>
      </w:r>
      <w:r w:rsidR="00187BD1">
        <w:rPr>
          <w:lang w:val="tr-TR"/>
        </w:rPr>
        <w:t>Mohr Siebeck,</w:t>
      </w:r>
      <w:r w:rsidR="00BD0E46">
        <w:rPr>
          <w:lang w:val="tr-TR"/>
        </w:rPr>
        <w:t xml:space="preserve"> s.33vd.</w:t>
      </w:r>
    </w:p>
  </w:footnote>
  <w:footnote w:id="7">
    <w:p w14:paraId="08D4BD6A" w14:textId="41994FDE" w:rsidR="0028341F" w:rsidRPr="0028341F" w:rsidRDefault="0028341F" w:rsidP="0028341F">
      <w:pPr>
        <w:pStyle w:val="FootnoteText"/>
        <w:jc w:val="both"/>
        <w:rPr>
          <w:lang w:val="tr-TR"/>
        </w:rPr>
      </w:pPr>
      <w:r>
        <w:rPr>
          <w:rStyle w:val="FootnoteReference"/>
        </w:rPr>
        <w:footnoteRef/>
      </w:r>
      <w:r w:rsidRPr="0028341F">
        <w:rPr>
          <w:lang w:val="tr-TR"/>
        </w:rPr>
        <w:t xml:space="preserve"> </w:t>
      </w:r>
      <w:r>
        <w:rPr>
          <w:lang w:val="tr-TR"/>
        </w:rPr>
        <w:t>Henning, s.186.</w:t>
      </w:r>
    </w:p>
  </w:footnote>
  <w:footnote w:id="8">
    <w:p w14:paraId="05470934" w14:textId="6AD48CAA" w:rsidR="00411F22" w:rsidRPr="00290C60" w:rsidRDefault="00411F22">
      <w:pPr>
        <w:pStyle w:val="FootnoteText"/>
        <w:rPr>
          <w:lang w:val="tr-TR"/>
        </w:rPr>
      </w:pPr>
      <w:r>
        <w:rPr>
          <w:rStyle w:val="FootnoteReference"/>
        </w:rPr>
        <w:footnoteRef/>
      </w:r>
      <w:r w:rsidRPr="00411F22">
        <w:rPr>
          <w:lang w:val="tr-TR"/>
        </w:rPr>
        <w:t xml:space="preserve"> </w:t>
      </w:r>
      <w:r w:rsidRPr="00290C60">
        <w:rPr>
          <w:lang w:val="tr-TR"/>
        </w:rPr>
        <w:t xml:space="preserve">Korkut Kanadoğlu/Ahmet Mert Duygun, Anayasa Hukukunun Genel Esasları, Oniki Levha Yayınları, </w:t>
      </w:r>
      <w:r w:rsidR="006366F7" w:rsidRPr="00290C60">
        <w:rPr>
          <w:lang w:val="tr-TR"/>
        </w:rPr>
        <w:t xml:space="preserve"> </w:t>
      </w:r>
      <w:r w:rsidR="00290C60" w:rsidRPr="00290C60">
        <w:rPr>
          <w:lang w:val="tr-TR"/>
        </w:rPr>
        <w:t xml:space="preserve">2. Baskı, </w:t>
      </w:r>
      <w:r w:rsidRPr="00290C60">
        <w:rPr>
          <w:lang w:val="tr-TR"/>
        </w:rPr>
        <w:t>İstanbul 202</w:t>
      </w:r>
      <w:r w:rsidR="00BC27FD">
        <w:rPr>
          <w:lang w:val="tr-TR"/>
        </w:rPr>
        <w:t>1</w:t>
      </w:r>
      <w:r w:rsidRPr="00290C60">
        <w:rPr>
          <w:lang w:val="tr-TR"/>
        </w:rPr>
        <w:t>, s.2</w:t>
      </w:r>
      <w:r w:rsidR="006366F7" w:rsidRPr="00290C60">
        <w:rPr>
          <w:lang w:val="tr-TR"/>
        </w:rPr>
        <w:t>5</w:t>
      </w:r>
      <w:r w:rsidRPr="00290C60">
        <w:rPr>
          <w:lang w:val="tr-TR"/>
        </w:rPr>
        <w:t>4.</w:t>
      </w:r>
    </w:p>
  </w:footnote>
  <w:footnote w:id="9">
    <w:p w14:paraId="4AC72EF0" w14:textId="5D3E859F" w:rsidR="00411F22" w:rsidRPr="00411F22" w:rsidRDefault="00411F22" w:rsidP="00CD196E">
      <w:pPr>
        <w:pStyle w:val="FootnoteText"/>
        <w:jc w:val="both"/>
        <w:rPr>
          <w:lang w:val="tr-TR"/>
        </w:rPr>
      </w:pPr>
      <w:r>
        <w:rPr>
          <w:rStyle w:val="FootnoteReference"/>
        </w:rPr>
        <w:footnoteRef/>
      </w:r>
      <w:r w:rsidRPr="00411F22">
        <w:rPr>
          <w:lang w:val="tr-TR"/>
        </w:rPr>
        <w:t xml:space="preserve"> </w:t>
      </w:r>
      <w:r>
        <w:rPr>
          <w:lang w:val="tr-TR"/>
        </w:rPr>
        <w:t xml:space="preserve"> Bu tespit özellikle günümüzde anayasa yargısı açısından geçerlidir. Şüphesiz anayasal düzene dair  siyasal </w:t>
      </w:r>
      <w:r w:rsidR="00CD196E">
        <w:rPr>
          <w:lang w:val="tr-TR"/>
        </w:rPr>
        <w:t>diyalogun yapılacağı esas yer, parlamentodur; aksi takdirde  büyük bir temsil ve meşruiyet sorunu doğacaktır. Ancak bu diyalogun şekli bir anayasa değişikliği dışında anayasal düzeni ortadan kaldırmasına yol açmasına izin verilemez; bu noktada en önemli engel ise  insan onurunu ve temel hakları korumak üzere anayasanın bekçisi olarak işlev gören anayasa mahkemeleridir. Bkz. Alexander Thiele, Der konstutierte Staat- Eine Verfassungsgeschichte der Neuzeit, Campus Verlag,  Ma</w:t>
      </w:r>
      <w:r w:rsidR="00F25124">
        <w:rPr>
          <w:lang w:val="tr-TR"/>
        </w:rPr>
        <w:t>e</w:t>
      </w:r>
      <w:r w:rsidR="00CD196E">
        <w:rPr>
          <w:lang w:val="tr-TR"/>
        </w:rPr>
        <w:t>rz 2021, s.368-369.</w:t>
      </w:r>
    </w:p>
  </w:footnote>
  <w:footnote w:id="10">
    <w:p w14:paraId="0E62D468" w14:textId="77777777" w:rsidR="00811221" w:rsidRPr="001134D9" w:rsidRDefault="00811221" w:rsidP="00811221">
      <w:pPr>
        <w:rPr>
          <w:sz w:val="20"/>
          <w:szCs w:val="20"/>
          <w:lang w:val="tr-TR"/>
        </w:rPr>
      </w:pPr>
      <w:r>
        <w:rPr>
          <w:rStyle w:val="FootnoteReference"/>
        </w:rPr>
        <w:footnoteRef/>
      </w:r>
      <w:r>
        <w:t xml:space="preserve"> </w:t>
      </w:r>
      <w:r>
        <w:rPr>
          <w:lang w:val="tr-TR"/>
        </w:rPr>
        <w:t>Bkz. Lorenz Schulz,</w:t>
      </w:r>
      <w:r w:rsidRPr="001134D9">
        <w:t xml:space="preserve"> </w:t>
      </w:r>
      <w:r w:rsidRPr="001134D9">
        <w:rPr>
          <w:sz w:val="20"/>
          <w:szCs w:val="20"/>
          <w:lang w:val="tr-TR"/>
        </w:rPr>
        <w:t>Rechtsbeugung und Mißbrauch staatlicher Macht</w:t>
      </w:r>
      <w:r>
        <w:rPr>
          <w:sz w:val="20"/>
          <w:szCs w:val="20"/>
          <w:lang w:val="tr-TR"/>
        </w:rPr>
        <w:t>,</w:t>
      </w:r>
      <w:r w:rsidRPr="001134D9">
        <w:t xml:space="preserve"> </w:t>
      </w:r>
      <w:r w:rsidRPr="001134D9">
        <w:rPr>
          <w:sz w:val="20"/>
          <w:szCs w:val="20"/>
          <w:lang w:val="tr-TR"/>
        </w:rPr>
        <w:t xml:space="preserve">StV 1995, </w:t>
      </w:r>
      <w:r>
        <w:rPr>
          <w:sz w:val="20"/>
          <w:szCs w:val="20"/>
          <w:lang w:val="tr-TR"/>
        </w:rPr>
        <w:t>s.</w:t>
      </w:r>
      <w:r w:rsidRPr="001134D9">
        <w:rPr>
          <w:sz w:val="20"/>
          <w:szCs w:val="20"/>
          <w:lang w:val="tr-TR"/>
        </w:rPr>
        <w:t>206</w:t>
      </w:r>
      <w:r>
        <w:rPr>
          <w:sz w:val="20"/>
          <w:szCs w:val="20"/>
          <w:lang w:val="tr-TR"/>
        </w:rPr>
        <w:t>vd.</w:t>
      </w:r>
    </w:p>
  </w:footnote>
  <w:footnote w:id="11">
    <w:p w14:paraId="4285CF11" w14:textId="0A0D449A" w:rsidR="00554A23" w:rsidRPr="00C66482" w:rsidRDefault="00554A23" w:rsidP="00554A23">
      <w:pPr>
        <w:pStyle w:val="FootnoteText"/>
        <w:rPr>
          <w:lang w:val="tr-TR"/>
        </w:rPr>
      </w:pPr>
      <w:r>
        <w:rPr>
          <w:rStyle w:val="FootnoteReference"/>
        </w:rPr>
        <w:footnoteRef/>
      </w:r>
      <w:r w:rsidRPr="00554A23">
        <w:rPr>
          <w:lang w:val="tr-TR"/>
        </w:rPr>
        <w:t xml:space="preserve"> Bu alandaki bir çalışma iç</w:t>
      </w:r>
      <w:r>
        <w:rPr>
          <w:lang w:val="tr-TR"/>
        </w:rPr>
        <w:t>in bkz.</w:t>
      </w:r>
      <w:r w:rsidRPr="00554A23">
        <w:rPr>
          <w:lang w:val="tr-TR"/>
        </w:rPr>
        <w:t xml:space="preserve"> </w:t>
      </w:r>
      <w:r w:rsidRPr="00C66482">
        <w:rPr>
          <w:lang w:val="tr-TR"/>
        </w:rPr>
        <w:t>Tom Gerald Daly. The Alchemists</w:t>
      </w:r>
      <w:r w:rsidR="00C66482" w:rsidRPr="00C66482">
        <w:rPr>
          <w:lang w:val="tr-TR"/>
        </w:rPr>
        <w:t xml:space="preserve">: </w:t>
      </w:r>
      <w:r w:rsidRPr="00C66482">
        <w:rPr>
          <w:lang w:val="tr-TR"/>
        </w:rPr>
        <w:t>Questioning our Faith in Courts as</w:t>
      </w:r>
    </w:p>
    <w:p w14:paraId="692EC6F8" w14:textId="28053AF6" w:rsidR="00554A23" w:rsidRPr="00554A23" w:rsidRDefault="00554A23" w:rsidP="00554A23">
      <w:pPr>
        <w:pStyle w:val="FootnoteText"/>
        <w:rPr>
          <w:b/>
          <w:bCs/>
          <w:lang w:val="tr-TR"/>
        </w:rPr>
      </w:pPr>
      <w:r w:rsidRPr="00C66482">
        <w:rPr>
          <w:lang w:val="tr-TR"/>
        </w:rPr>
        <w:t>Democracy-Builders. Cambridge</w:t>
      </w:r>
      <w:r w:rsidR="00C66482" w:rsidRPr="00C66482">
        <w:rPr>
          <w:lang w:val="tr-TR"/>
        </w:rPr>
        <w:t xml:space="preserve"> </w:t>
      </w:r>
      <w:r w:rsidRPr="00C66482">
        <w:rPr>
          <w:lang w:val="tr-TR"/>
        </w:rPr>
        <w:t xml:space="preserve">University Press 2017 </w:t>
      </w:r>
      <w:r w:rsidR="00C66482" w:rsidRPr="00C66482">
        <w:rPr>
          <w:lang w:val="tr-TR"/>
        </w:rPr>
        <w:t>.</w:t>
      </w:r>
    </w:p>
  </w:footnote>
  <w:footnote w:id="12">
    <w:p w14:paraId="151AE704" w14:textId="161A70B0" w:rsidR="00675110" w:rsidRPr="00A62673" w:rsidRDefault="00675110">
      <w:pPr>
        <w:pStyle w:val="FootnoteText"/>
      </w:pPr>
      <w:r>
        <w:rPr>
          <w:rStyle w:val="FootnoteReference"/>
        </w:rPr>
        <w:footnoteRef/>
      </w:r>
      <w:r w:rsidRPr="00A62673">
        <w:t xml:space="preserve"> Landau</w:t>
      </w:r>
      <w:r w:rsidR="00B152E2">
        <w:t>/Dixon</w:t>
      </w:r>
      <w:r w:rsidRPr="00A62673">
        <w:t>, s.1322.</w:t>
      </w:r>
    </w:p>
  </w:footnote>
  <w:footnote w:id="13">
    <w:p w14:paraId="444E1176" w14:textId="1EDBAD98" w:rsidR="00583DD0" w:rsidRPr="00583DD0" w:rsidRDefault="00583DD0">
      <w:pPr>
        <w:pStyle w:val="FootnoteText"/>
        <w:rPr>
          <w:lang w:val="tr-TR"/>
        </w:rPr>
      </w:pPr>
      <w:r>
        <w:rPr>
          <w:rStyle w:val="FootnoteReference"/>
        </w:rPr>
        <w:footnoteRef/>
      </w:r>
      <w:r w:rsidRPr="00583DD0">
        <w:t xml:space="preserve"> </w:t>
      </w:r>
      <w:r>
        <w:rPr>
          <w:lang w:val="tr-TR"/>
        </w:rPr>
        <w:t>Aynı yönde bkz. Landau</w:t>
      </w:r>
      <w:r w:rsidR="00B152E2">
        <w:rPr>
          <w:lang w:val="tr-TR"/>
        </w:rPr>
        <w:t>/Dixon</w:t>
      </w:r>
      <w:r>
        <w:rPr>
          <w:lang w:val="tr-TR"/>
        </w:rPr>
        <w:t>, s.1334.</w:t>
      </w:r>
    </w:p>
  </w:footnote>
  <w:footnote w:id="14">
    <w:p w14:paraId="2B368B82" w14:textId="20D25361" w:rsidR="00A62673" w:rsidRPr="00A62673" w:rsidRDefault="00A62673">
      <w:pPr>
        <w:pStyle w:val="FootnoteText"/>
        <w:rPr>
          <w:lang w:val="en-GB"/>
        </w:rPr>
      </w:pPr>
      <w:r>
        <w:rPr>
          <w:rStyle w:val="FootnoteReference"/>
        </w:rPr>
        <w:footnoteRef/>
      </w:r>
      <w:r w:rsidRPr="00373433">
        <w:t xml:space="preserve"> Bu hususta bkz. </w:t>
      </w:r>
      <w:r w:rsidRPr="00A62673">
        <w:rPr>
          <w:lang w:val="en-GB"/>
        </w:rPr>
        <w:t>Tamir Moustafa/ Tom Ginsburg, Introduction: The Functions of Courts in Authoritarian Politics</w:t>
      </w:r>
      <w:r>
        <w:rPr>
          <w:lang w:val="en-GB"/>
        </w:rPr>
        <w:t xml:space="preserve">, in: </w:t>
      </w:r>
      <w:r w:rsidRPr="00A62673">
        <w:rPr>
          <w:lang w:val="en-GB"/>
        </w:rPr>
        <w:t xml:space="preserve">Rule By Law The Politics of Courts in Authoritarian Regimes , </w:t>
      </w:r>
      <w:r>
        <w:rPr>
          <w:lang w:val="en-GB"/>
        </w:rPr>
        <w:t>s</w:t>
      </w:r>
      <w:r w:rsidRPr="00A62673">
        <w:rPr>
          <w:lang w:val="en-GB"/>
        </w:rPr>
        <w:t>.</w:t>
      </w:r>
      <w:r w:rsidR="00C41802">
        <w:rPr>
          <w:lang w:val="en-GB"/>
        </w:rPr>
        <w:t>1vd.</w:t>
      </w:r>
    </w:p>
  </w:footnote>
  <w:footnote w:id="15">
    <w:p w14:paraId="46D4A73F" w14:textId="127DAD33" w:rsidR="00C41802" w:rsidRPr="00C41802" w:rsidRDefault="00C41802">
      <w:pPr>
        <w:pStyle w:val="FootnoteText"/>
        <w:rPr>
          <w:lang w:val="en-GB"/>
        </w:rPr>
      </w:pPr>
      <w:r>
        <w:rPr>
          <w:rStyle w:val="FootnoteReference"/>
        </w:rPr>
        <w:footnoteRef/>
      </w:r>
      <w:r w:rsidRPr="00C41802">
        <w:rPr>
          <w:lang w:val="en-GB"/>
        </w:rPr>
        <w:t xml:space="preserve"> </w:t>
      </w:r>
      <w:bookmarkStart w:id="2" w:name="_Hlk84980694"/>
      <w:r>
        <w:rPr>
          <w:lang w:val="en-GB"/>
        </w:rPr>
        <w:t>Moustafa/Ginsburg, s.4.</w:t>
      </w:r>
      <w:bookmarkEnd w:id="2"/>
    </w:p>
  </w:footnote>
  <w:footnote w:id="16">
    <w:p w14:paraId="1E3B1C03" w14:textId="68923193" w:rsidR="00C41802" w:rsidRPr="00C41802" w:rsidRDefault="00C41802">
      <w:pPr>
        <w:pStyle w:val="FootnoteText"/>
        <w:rPr>
          <w:lang w:val="en-GB"/>
        </w:rPr>
      </w:pPr>
      <w:r>
        <w:rPr>
          <w:rStyle w:val="FootnoteReference"/>
        </w:rPr>
        <w:footnoteRef/>
      </w:r>
      <w:r w:rsidRPr="00C41802">
        <w:rPr>
          <w:lang w:val="en-GB"/>
        </w:rPr>
        <w:t xml:space="preserve"> Moustafa/Ginsburg, s.</w:t>
      </w:r>
      <w:r>
        <w:rPr>
          <w:lang w:val="en-GB"/>
        </w:rPr>
        <w:t>9.</w:t>
      </w:r>
    </w:p>
  </w:footnote>
  <w:footnote w:id="17">
    <w:p w14:paraId="398C5FEC" w14:textId="6946F3F4" w:rsidR="005D569A" w:rsidRPr="005D569A" w:rsidRDefault="005D569A">
      <w:pPr>
        <w:pStyle w:val="FootnoteText"/>
        <w:rPr>
          <w:lang w:val="en-GB"/>
        </w:rPr>
      </w:pPr>
      <w:r>
        <w:rPr>
          <w:rStyle w:val="FootnoteReference"/>
        </w:rPr>
        <w:footnoteRef/>
      </w:r>
      <w:r w:rsidRPr="005D569A">
        <w:rPr>
          <w:lang w:val="en-GB"/>
        </w:rPr>
        <w:t xml:space="preserve"> </w:t>
      </w:r>
      <w:r>
        <w:rPr>
          <w:lang w:val="en-GB"/>
        </w:rPr>
        <w:t>Moustafa/Ginsburg, s.15.</w:t>
      </w:r>
    </w:p>
  </w:footnote>
  <w:footnote w:id="18">
    <w:p w14:paraId="19387F5A" w14:textId="0ABB567A" w:rsidR="007F7196" w:rsidRPr="007F7196" w:rsidRDefault="007F7196">
      <w:pPr>
        <w:pStyle w:val="FootnoteText"/>
        <w:rPr>
          <w:lang w:val="tr-TR"/>
        </w:rPr>
      </w:pPr>
      <w:r>
        <w:rPr>
          <w:rStyle w:val="FootnoteReference"/>
        </w:rPr>
        <w:footnoteRef/>
      </w:r>
      <w:r w:rsidRPr="007F7196">
        <w:rPr>
          <w:lang w:val="en-GB"/>
        </w:rPr>
        <w:t xml:space="preserve"> </w:t>
      </w:r>
      <w:r>
        <w:rPr>
          <w:lang w:val="tr-TR"/>
        </w:rPr>
        <w:t>Mustafa Erdoğan, Anayasa Mahkemesi Önemli midir? Orta Avrupa’da Anayasa Yargısı ve Demokrasinin Pekişmesi,</w:t>
      </w:r>
      <w:r w:rsidR="00D9401E">
        <w:rPr>
          <w:lang w:val="tr-TR"/>
        </w:rPr>
        <w:t xml:space="preserve"> AÜFHD, C. 54 Sa.3, Yıl 2005, s.2.</w:t>
      </w:r>
    </w:p>
  </w:footnote>
  <w:footnote w:id="19">
    <w:p w14:paraId="4294B322" w14:textId="1BD1FF57" w:rsidR="00F348AF" w:rsidRPr="0000638A" w:rsidRDefault="00F348AF">
      <w:pPr>
        <w:pStyle w:val="FootnoteText"/>
      </w:pPr>
      <w:r>
        <w:rPr>
          <w:rStyle w:val="FootnoteReference"/>
        </w:rPr>
        <w:footnoteRef/>
      </w:r>
      <w:r w:rsidRPr="007F7196">
        <w:t xml:space="preserve"> Örnekler için bkz. </w:t>
      </w:r>
      <w:r w:rsidRPr="0000638A">
        <w:t>Daly, s.96.</w:t>
      </w:r>
    </w:p>
  </w:footnote>
  <w:footnote w:id="20">
    <w:p w14:paraId="547C4DCC" w14:textId="024F11C7" w:rsidR="00C227F7" w:rsidRPr="0000638A" w:rsidRDefault="00C227F7">
      <w:pPr>
        <w:pStyle w:val="FootnoteText"/>
      </w:pPr>
      <w:r>
        <w:rPr>
          <w:rStyle w:val="FootnoteReference"/>
        </w:rPr>
        <w:footnoteRef/>
      </w:r>
      <w:r w:rsidRPr="0000638A">
        <w:t xml:space="preserve"> Bkz. Korkut Kanadoğlu, Anayasa Mahkemesi,</w:t>
      </w:r>
      <w:r w:rsidR="0024702C" w:rsidRPr="0000638A">
        <w:t xml:space="preserve"> Beta Yayınevi, İstanbul 2004, s.10-11.</w:t>
      </w:r>
    </w:p>
  </w:footnote>
  <w:footnote w:id="21">
    <w:p w14:paraId="4A5A2C19" w14:textId="421EC9D4" w:rsidR="00C227F7" w:rsidRPr="00C227F7" w:rsidRDefault="00C227F7">
      <w:pPr>
        <w:pStyle w:val="FootnoteText"/>
        <w:rPr>
          <w:lang w:val="en-GB"/>
        </w:rPr>
      </w:pPr>
      <w:r>
        <w:rPr>
          <w:rStyle w:val="FootnoteReference"/>
        </w:rPr>
        <w:footnoteRef/>
      </w:r>
      <w:r w:rsidRPr="00C227F7">
        <w:rPr>
          <w:lang w:val="en-GB"/>
        </w:rPr>
        <w:t xml:space="preserve"> </w:t>
      </w:r>
      <w:r>
        <w:rPr>
          <w:lang w:val="en-GB"/>
        </w:rPr>
        <w:t>Daily, s.88-89.</w:t>
      </w:r>
    </w:p>
  </w:footnote>
  <w:footnote w:id="22">
    <w:p w14:paraId="239B7390" w14:textId="1B9515A9" w:rsidR="00030FD1" w:rsidRPr="00030FD1" w:rsidRDefault="00030FD1">
      <w:pPr>
        <w:pStyle w:val="FootnoteText"/>
        <w:rPr>
          <w:lang w:val="tr-TR"/>
        </w:rPr>
      </w:pPr>
      <w:r>
        <w:rPr>
          <w:rStyle w:val="FootnoteReference"/>
        </w:rPr>
        <w:footnoteRef/>
      </w:r>
      <w:r w:rsidRPr="00030FD1">
        <w:rPr>
          <w:lang w:val="tr-TR"/>
        </w:rPr>
        <w:t xml:space="preserve"> </w:t>
      </w:r>
      <w:r>
        <w:rPr>
          <w:lang w:val="tr-TR"/>
        </w:rPr>
        <w:t>Bu hususta detaylı bilgi için bkz. Henning Grund, “Preußenschlag</w:t>
      </w:r>
      <w:r w:rsidR="00CA0DBB">
        <w:rPr>
          <w:lang w:val="tr-TR"/>
        </w:rPr>
        <w:t>”</w:t>
      </w:r>
      <w:r>
        <w:rPr>
          <w:lang w:val="tr-TR"/>
        </w:rPr>
        <w:t xml:space="preserve"> und Staatsgerichtshof im Jahre 193</w:t>
      </w:r>
      <w:r w:rsidR="00CA0DBB">
        <w:rPr>
          <w:lang w:val="tr-TR"/>
        </w:rPr>
        <w:t>2, Nomos Verlag, Bade-Baden 1976.</w:t>
      </w:r>
    </w:p>
  </w:footnote>
  <w:footnote w:id="23">
    <w:p w14:paraId="57C10036" w14:textId="7562E41C" w:rsidR="00FD4E18" w:rsidRPr="00FD4E18" w:rsidRDefault="00FD4E18" w:rsidP="002F46B2">
      <w:pPr>
        <w:pStyle w:val="FootnoteText"/>
        <w:jc w:val="both"/>
        <w:rPr>
          <w:lang w:val="tr-TR"/>
        </w:rPr>
      </w:pPr>
      <w:r>
        <w:rPr>
          <w:rStyle w:val="FootnoteReference"/>
        </w:rPr>
        <w:footnoteRef/>
      </w:r>
      <w:r w:rsidRPr="00FD4E18">
        <w:rPr>
          <w:lang w:val="tr-TR"/>
        </w:rPr>
        <w:t xml:space="preserve"> Kayzerlerin aynı zama</w:t>
      </w:r>
      <w:r>
        <w:rPr>
          <w:lang w:val="tr-TR"/>
        </w:rPr>
        <w:t xml:space="preserve">nda Prusya </w:t>
      </w:r>
      <w:r w:rsidR="00A10D68">
        <w:rPr>
          <w:lang w:val="tr-TR"/>
        </w:rPr>
        <w:t>Prensi</w:t>
      </w:r>
      <w:r>
        <w:rPr>
          <w:lang w:val="tr-TR"/>
        </w:rPr>
        <w:t xml:space="preserve"> olmasının da etkisiyle Prusya eyaleti, Almanya’da her daim özgün bir öneme sahip olmuştur. Bu önem, Kayzerliğin yıkılmasından sonra Weimar Cumhuriyeti döneminde de devam etmekle beraber, bu özgün duruş Almanya’daki otoriter devlet(</w:t>
      </w:r>
      <w:r w:rsidRPr="00FD4E18">
        <w:rPr>
          <w:i/>
          <w:iCs/>
          <w:lang w:val="tr-TR"/>
        </w:rPr>
        <w:t>Obrigkeitsstaat</w:t>
      </w:r>
      <w:r>
        <w:rPr>
          <w:lang w:val="tr-TR"/>
        </w:rPr>
        <w:t>) özlemi duyanların önünde her daim rahatsızlık yaratmaktaydı.</w:t>
      </w:r>
      <w:r w:rsidR="002F46B2">
        <w:rPr>
          <w:lang w:val="tr-TR"/>
        </w:rPr>
        <w:t xml:space="preserve"> 1932 yılında yapılan eyalet seçimlerinde  Nasyonal Sosyalist NSDAP ve Alman Komünist Partisinin seçimlerde oylarını yükseltmeleri, o zamana değin sosyal demokrat SPD, muhafazakar-sağ Zentrum ve liberal DDP tarafından oluşturulan Prusya Koalisyonunun güvenoyu alabilmesini imkansız hale getirmekteydi. Bunun üzerine Prusya Koalisyonu, Eyalet Anayasasının 59. maddesine dayanarak “işgüder bir hükümetle”  ülkeyi yönetmeyi denemiş; ancak bu çaba Hindenburg liderliğindeki von Papen başkanlık hükümeti tarafından eyalet yönetimine hükümet komiseri atanması ile son bulmuştu. Şüphesiz  Altonaer Kanlı Pazarı olarak bilinen ve NSDAP üyelerinin Alman Komünistlerine saldırıp ok sayıda kişinin ölümüne yol açan olay da Hindenburg’un elini kolaylaştırmıştır. Bkz.</w:t>
      </w:r>
      <w:r w:rsidR="002F46B2" w:rsidRPr="002F46B2">
        <w:rPr>
          <w:lang w:val="tr-TR"/>
        </w:rPr>
        <w:t xml:space="preserve"> Shirvani, S.117</w:t>
      </w:r>
      <w:r w:rsidR="002F46B2">
        <w:rPr>
          <w:lang w:val="tr-TR"/>
        </w:rPr>
        <w:t xml:space="preserve"> vd.</w:t>
      </w:r>
      <w:r w:rsidR="00125112">
        <w:rPr>
          <w:lang w:val="tr-TR"/>
        </w:rPr>
        <w:t xml:space="preserve"> Aynı yönde bkz.  Peter Bloyemer, Der Notstand in den lezten Jahren von Weimar,  Dunckler&amp;Humblot Verlag, Berlin 1999, s.258-259.</w:t>
      </w:r>
    </w:p>
  </w:footnote>
  <w:footnote w:id="24">
    <w:p w14:paraId="7D2B84CA" w14:textId="47969998" w:rsidR="001C4459" w:rsidRPr="001C4459" w:rsidRDefault="001C4459">
      <w:pPr>
        <w:pStyle w:val="FootnoteText"/>
        <w:rPr>
          <w:lang w:val="tr-TR"/>
        </w:rPr>
      </w:pPr>
      <w:r>
        <w:rPr>
          <w:rStyle w:val="FootnoteReference"/>
        </w:rPr>
        <w:footnoteRef/>
      </w:r>
      <w:r w:rsidRPr="002F46B2">
        <w:rPr>
          <w:lang w:val="tr-TR"/>
        </w:rPr>
        <w:t xml:space="preserve"> </w:t>
      </w:r>
      <w:r>
        <w:rPr>
          <w:lang w:val="tr-TR"/>
        </w:rPr>
        <w:t>Reichsxekution hakkında bkz.</w:t>
      </w:r>
      <w:r w:rsidRPr="002F46B2">
        <w:rPr>
          <w:lang w:val="tr-TR"/>
        </w:rPr>
        <w:t xml:space="preserve">  </w:t>
      </w:r>
      <w:r>
        <w:t xml:space="preserve">Foroud </w:t>
      </w:r>
      <w:r w:rsidRPr="001C4459">
        <w:rPr>
          <w:lang w:val="tr-TR"/>
        </w:rPr>
        <w:t>Shirvani,</w:t>
      </w:r>
      <w:r>
        <w:rPr>
          <w:lang w:val="tr-TR"/>
        </w:rPr>
        <w:t xml:space="preserve"> </w:t>
      </w:r>
      <w:r w:rsidRPr="001C4459">
        <w:rPr>
          <w:lang w:val="tr-TR"/>
        </w:rPr>
        <w:t xml:space="preserve">Die Bundes-und Reichsexekution in der neueren deutschen Verfassungsgeschichte, Der Staat 50 (2011), </w:t>
      </w:r>
      <w:r>
        <w:rPr>
          <w:lang w:val="tr-TR"/>
        </w:rPr>
        <w:t>s</w:t>
      </w:r>
      <w:r w:rsidRPr="001C4459">
        <w:rPr>
          <w:lang w:val="tr-TR"/>
        </w:rPr>
        <w:t>.102-121.</w:t>
      </w:r>
    </w:p>
  </w:footnote>
  <w:footnote w:id="25">
    <w:p w14:paraId="178D9078" w14:textId="6E87A726" w:rsidR="00306C19" w:rsidRPr="00306C19" w:rsidRDefault="00306C19">
      <w:pPr>
        <w:pStyle w:val="FootnoteText"/>
        <w:rPr>
          <w:lang w:val="tr-TR"/>
        </w:rPr>
      </w:pPr>
      <w:r>
        <w:rPr>
          <w:rStyle w:val="FootnoteReference"/>
        </w:rPr>
        <w:footnoteRef/>
      </w:r>
      <w:r w:rsidRPr="00906299">
        <w:rPr>
          <w:lang w:val="tr-TR"/>
        </w:rPr>
        <w:t xml:space="preserve"> </w:t>
      </w:r>
      <w:r>
        <w:rPr>
          <w:lang w:val="tr-TR"/>
        </w:rPr>
        <w:t>Nitelendirme için bkz. Ece Göztepe,</w:t>
      </w:r>
      <w:r w:rsidRPr="00306C19">
        <w:rPr>
          <w:lang w:val="tr-TR"/>
        </w:rPr>
        <w:t xml:space="preserve"> Bir Klasik Eser Olarak Carl Schmitt’in “Anayasa Öğretisi”</w:t>
      </w:r>
      <w:r>
        <w:rPr>
          <w:lang w:val="tr-TR"/>
        </w:rPr>
        <w:t>,</w:t>
      </w:r>
      <w:r w:rsidRPr="00306C19">
        <w:rPr>
          <w:lang w:val="tr-TR"/>
        </w:rPr>
        <w:t xml:space="preserve"> İÜHFM C. LXXIII, </w:t>
      </w:r>
      <w:r>
        <w:rPr>
          <w:lang w:val="tr-TR"/>
        </w:rPr>
        <w:t xml:space="preserve"> s.131.</w:t>
      </w:r>
    </w:p>
  </w:footnote>
  <w:footnote w:id="26">
    <w:p w14:paraId="53C432C1" w14:textId="07C596D4" w:rsidR="00371CBE" w:rsidRPr="00371CBE" w:rsidRDefault="00371CBE">
      <w:pPr>
        <w:pStyle w:val="FootnoteText"/>
        <w:rPr>
          <w:lang w:val="tr-TR"/>
        </w:rPr>
      </w:pPr>
      <w:r>
        <w:rPr>
          <w:rStyle w:val="FootnoteReference"/>
        </w:rPr>
        <w:footnoteRef/>
      </w:r>
      <w:r w:rsidRPr="00B659A8">
        <w:rPr>
          <w:lang w:val="tr-TR"/>
        </w:rPr>
        <w:t xml:space="preserve"> </w:t>
      </w:r>
      <w:r>
        <w:rPr>
          <w:lang w:val="tr-TR"/>
        </w:rPr>
        <w:t>Bu tartışmalara ilişkin bkz.</w:t>
      </w:r>
      <w:r w:rsidR="00B659A8" w:rsidRPr="00B659A8">
        <w:rPr>
          <w:lang w:val="tr-TR"/>
        </w:rPr>
        <w:t xml:space="preserve"> </w:t>
      </w:r>
      <w:r w:rsidR="00B659A8">
        <w:rPr>
          <w:lang w:val="tr-TR"/>
        </w:rPr>
        <w:t xml:space="preserve">Gözde Türkeli, </w:t>
      </w:r>
      <w:r w:rsidR="00B659A8" w:rsidRPr="00B659A8">
        <w:rPr>
          <w:lang w:val="tr-TR"/>
        </w:rPr>
        <w:t>Schmitt ve Kelsen’in Görüşleri Ekseninde Anayasanın Koruyuculuğu Tartışması</w:t>
      </w:r>
      <w:r w:rsidR="00B659A8">
        <w:rPr>
          <w:lang w:val="tr-TR"/>
        </w:rPr>
        <w:t xml:space="preserve">, </w:t>
      </w:r>
      <w:r w:rsidR="00B659A8" w:rsidRPr="00B659A8">
        <w:rPr>
          <w:lang w:val="tr-TR"/>
        </w:rPr>
        <w:t>Marmara Üniversitesi Hukuk Fakültesi Hukuk Araştırmaları Dergisi</w:t>
      </w:r>
      <w:r w:rsidR="00B659A8">
        <w:rPr>
          <w:lang w:val="tr-TR"/>
        </w:rPr>
        <w:t>-</w:t>
      </w:r>
      <w:r w:rsidR="00B659A8" w:rsidRPr="00B659A8">
        <w:rPr>
          <w:lang w:val="tr-TR"/>
        </w:rPr>
        <w:t>Arşiv</w:t>
      </w:r>
      <w:r w:rsidR="00B659A8">
        <w:rPr>
          <w:lang w:val="tr-TR"/>
        </w:rPr>
        <w:t>/</w:t>
      </w:r>
      <w:r w:rsidR="00B659A8" w:rsidRPr="00B659A8">
        <w:rPr>
          <w:lang w:val="tr-TR"/>
        </w:rPr>
        <w:t>Cilt 26, Sayı 2</w:t>
      </w:r>
      <w:r w:rsidR="00B659A8">
        <w:rPr>
          <w:lang w:val="tr-TR"/>
        </w:rPr>
        <w:t>, s. 980-1005.</w:t>
      </w:r>
    </w:p>
  </w:footnote>
  <w:footnote w:id="27">
    <w:p w14:paraId="58258E64" w14:textId="6EDA3488" w:rsidR="00B05834" w:rsidRPr="00B05834" w:rsidRDefault="00B05834" w:rsidP="0012270D">
      <w:pPr>
        <w:pStyle w:val="FootnoteText"/>
        <w:jc w:val="both"/>
        <w:rPr>
          <w:lang w:val="tr-TR"/>
        </w:rPr>
      </w:pPr>
      <w:r>
        <w:rPr>
          <w:rStyle w:val="FootnoteReference"/>
        </w:rPr>
        <w:footnoteRef/>
      </w:r>
      <w:r w:rsidRPr="00B05834">
        <w:rPr>
          <w:lang w:val="tr-TR"/>
        </w:rPr>
        <w:t xml:space="preserve"> </w:t>
      </w:r>
      <w:r>
        <w:rPr>
          <w:lang w:val="tr-TR"/>
        </w:rPr>
        <w:t xml:space="preserve">Heinrich </w:t>
      </w:r>
      <w:r w:rsidRPr="00B05834">
        <w:rPr>
          <w:lang w:val="tr-TR"/>
        </w:rPr>
        <w:t>Triepel, Die Entscheidung des Staatsgerichtshofs im Verfassungsstreit zwischen Preußen und dem Reiche, Deutsche Juristische Zeitung 1932,</w:t>
      </w:r>
      <w:r>
        <w:rPr>
          <w:lang w:val="tr-TR"/>
        </w:rPr>
        <w:t xml:space="preserve"> s. 1505. Yazar, Mahkemenin dar yorumunu eleştirmekle beraber bu yorumun bile yanlış aktarıldığını, Weimar Anayasasının 48. </w:t>
      </w:r>
      <w:r w:rsidR="00694171">
        <w:rPr>
          <w:lang w:val="tr-TR"/>
        </w:rPr>
        <w:t>m</w:t>
      </w:r>
      <w:r>
        <w:rPr>
          <w:lang w:val="tr-TR"/>
        </w:rPr>
        <w:t>addesinin Bismark Anayasası’ndan mülhem olduğunu ve bu anayasadaki olağanüstü hal düzenlemelerinin de bu yorumu haklı çıkarmadığın belirtmiştir.</w:t>
      </w:r>
    </w:p>
  </w:footnote>
  <w:footnote w:id="28">
    <w:p w14:paraId="0A3ED7A7" w14:textId="630AB872" w:rsidR="00000B7D" w:rsidRPr="00000B7D" w:rsidRDefault="00000B7D">
      <w:pPr>
        <w:pStyle w:val="FootnoteText"/>
        <w:rPr>
          <w:lang w:val="tr-TR"/>
        </w:rPr>
      </w:pPr>
      <w:r>
        <w:rPr>
          <w:rStyle w:val="FootnoteReference"/>
        </w:rPr>
        <w:footnoteRef/>
      </w:r>
      <w:r w:rsidRPr="00C900B6">
        <w:rPr>
          <w:lang w:val="tr-TR"/>
        </w:rPr>
        <w:t xml:space="preserve"> </w:t>
      </w:r>
      <w:r w:rsidR="00C900B6" w:rsidRPr="00C900B6">
        <w:rPr>
          <w:lang w:val="tr-TR"/>
        </w:rPr>
        <w:t xml:space="preserve"> Kararın ardından devlet başkanının olağanüstü hale ilişkin anayasal yetkilerini sı</w:t>
      </w:r>
      <w:r w:rsidR="00C900B6">
        <w:rPr>
          <w:lang w:val="tr-TR"/>
        </w:rPr>
        <w:t>nırlandırarak bu yetkilerin federal hükümete verilmesine ilişkin anayasa değişiklik önerileri ise sonuçsuz kalmıştır. Bkz.</w:t>
      </w:r>
      <w:r w:rsidR="00C900B6" w:rsidRPr="00C900B6">
        <w:rPr>
          <w:lang w:val="tr-TR"/>
        </w:rPr>
        <w:t xml:space="preserve"> </w:t>
      </w:r>
      <w:r w:rsidRPr="00C900B6">
        <w:rPr>
          <w:lang w:val="tr-TR"/>
        </w:rPr>
        <w:t xml:space="preserve"> Klaus-Dieter Weber, Das Büro des Reichspräsidenten 1919-1934, Peter Lang Verlag, s.41.</w:t>
      </w:r>
    </w:p>
  </w:footnote>
  <w:footnote w:id="29">
    <w:p w14:paraId="7E4C522E" w14:textId="4EB36839" w:rsidR="00AD2A1F" w:rsidRPr="00AD2A1F" w:rsidRDefault="00AD2A1F" w:rsidP="00BD0E46">
      <w:pPr>
        <w:pStyle w:val="FootnoteText"/>
        <w:jc w:val="both"/>
        <w:rPr>
          <w:lang w:val="tr-TR"/>
        </w:rPr>
      </w:pPr>
      <w:r>
        <w:rPr>
          <w:rStyle w:val="FootnoteReference"/>
        </w:rPr>
        <w:footnoteRef/>
      </w:r>
      <w:r w:rsidRPr="00AD2A1F">
        <w:rPr>
          <w:lang w:val="tr-TR"/>
        </w:rPr>
        <w:t xml:space="preserve"> </w:t>
      </w:r>
      <w:r>
        <w:rPr>
          <w:lang w:val="tr-TR"/>
        </w:rPr>
        <w:t xml:space="preserve">Hukuksuzluk devleti kavramı </w:t>
      </w:r>
      <w:r w:rsidR="00BD0E46" w:rsidRPr="00BD0E46">
        <w:rPr>
          <w:lang w:val="tr-TR"/>
        </w:rPr>
        <w:t xml:space="preserve">  İlk defa Peter Reichensberger tarafından kullanılmış </w:t>
      </w:r>
      <w:r w:rsidR="00BD0E46">
        <w:rPr>
          <w:lang w:val="tr-TR"/>
        </w:rPr>
        <w:t xml:space="preserve">olup </w:t>
      </w:r>
      <w:r w:rsidR="00BD0E46" w:rsidRPr="00BD0E46">
        <w:rPr>
          <w:lang w:val="tr-TR"/>
        </w:rPr>
        <w:t>kavramın</w:t>
      </w:r>
      <w:r w:rsidR="00BD0E46">
        <w:rPr>
          <w:lang w:val="tr-TR"/>
        </w:rPr>
        <w:t xml:space="preserve"> tüm otoriter rejimler için uygulanıp uygulanamayacağına </w:t>
      </w:r>
      <w:r w:rsidR="00BD0E46" w:rsidRPr="00BD0E46">
        <w:rPr>
          <w:lang w:val="tr-TR"/>
        </w:rPr>
        <w:t>ilişkin tartışmalar için bkz.  Horst Sendler, Die DDR als Unrechtsstaat – ja oder nein?, ZRP 1993, s.1-5.</w:t>
      </w:r>
    </w:p>
  </w:footnote>
  <w:footnote w:id="30">
    <w:p w14:paraId="16A3AD02" w14:textId="25429142" w:rsidR="00AD2A1F" w:rsidRPr="00AD2A1F" w:rsidRDefault="00AD2A1F" w:rsidP="00EE6BAE">
      <w:pPr>
        <w:pStyle w:val="FootnoteText"/>
        <w:jc w:val="both"/>
        <w:rPr>
          <w:lang w:val="tr-TR"/>
        </w:rPr>
      </w:pPr>
      <w:r>
        <w:rPr>
          <w:rStyle w:val="FootnoteReference"/>
        </w:rPr>
        <w:footnoteRef/>
      </w:r>
      <w:r w:rsidRPr="00AD2A1F">
        <w:rPr>
          <w:lang w:val="tr-TR"/>
        </w:rPr>
        <w:t xml:space="preserve"> </w:t>
      </w:r>
      <w:r>
        <w:rPr>
          <w:lang w:val="tr-TR"/>
        </w:rPr>
        <w:t>Örneğin Yahudi vatandaşların kiracıların tahliyeye karşı sahip oldukları güvencelerden faydalanamamasını öngören yasa,  dönemin Berlin Eyalet Mahkemesi tarafından bunun bir kira hukuku uyuşmazlığı değil dünya bakışı (</w:t>
      </w:r>
      <w:r w:rsidRPr="00AD2A1F">
        <w:rPr>
          <w:i/>
          <w:iCs/>
          <w:lang w:val="tr-TR"/>
        </w:rPr>
        <w:t>weltanschaulich</w:t>
      </w:r>
      <w:r>
        <w:rPr>
          <w:lang w:val="tr-TR"/>
        </w:rPr>
        <w:t>)</w:t>
      </w:r>
      <w:r w:rsidR="00BD0E46">
        <w:rPr>
          <w:lang w:val="tr-TR"/>
        </w:rPr>
        <w:t xml:space="preserve"> ile ilgili olduğunu söylemiş ve kira sözleşmesinin Yahudi olan taraf aleyhine bozulmasının haksız bir sözleşme feshi olmayacağına hükmetmiştir. Bu kararları daha sonra “ari ırktan olanlar” ile Yahudi olan yurttaşların evlenmesini yasaklayan kanunlara aykırı davrananları idamla cezalandıran Nürnberg</w:t>
      </w:r>
      <w:r w:rsidR="00CD1782">
        <w:rPr>
          <w:lang w:val="tr-TR"/>
        </w:rPr>
        <w:t xml:space="preserve"> Özel Mahkemesi ve Kassel Özel Mahkemesinin kararları izlemiştir. Bkz. Kramer, s.36-39.</w:t>
      </w:r>
    </w:p>
  </w:footnote>
  <w:footnote w:id="31">
    <w:p w14:paraId="0B2615C3" w14:textId="45D6BA7D" w:rsidR="00406592" w:rsidRPr="00406592" w:rsidRDefault="00406592">
      <w:pPr>
        <w:pStyle w:val="FootnoteText"/>
        <w:rPr>
          <w:lang w:val="tr-TR"/>
        </w:rPr>
      </w:pPr>
      <w:r>
        <w:rPr>
          <w:rStyle w:val="FootnoteReference"/>
        </w:rPr>
        <w:footnoteRef/>
      </w:r>
      <w:r w:rsidRPr="00406592">
        <w:rPr>
          <w:lang w:val="tr-TR"/>
        </w:rPr>
        <w:t xml:space="preserve"> </w:t>
      </w:r>
      <w:r>
        <w:rPr>
          <w:lang w:val="tr-TR"/>
        </w:rPr>
        <w:t>Bu görüş için bkz.</w:t>
      </w:r>
      <w:r w:rsidR="00947819">
        <w:rPr>
          <w:lang w:val="tr-TR"/>
        </w:rPr>
        <w:t xml:space="preserve"> Hubert Scho</w:t>
      </w:r>
      <w:r w:rsidR="007627F9">
        <w:rPr>
          <w:lang w:val="tr-TR"/>
        </w:rPr>
        <w:t>r</w:t>
      </w:r>
      <w:r w:rsidR="00947819">
        <w:rPr>
          <w:lang w:val="tr-TR"/>
        </w:rPr>
        <w:t>n, Der Richter im dritten Reich- Geschichte und Dokumente</w:t>
      </w:r>
      <w:r w:rsidR="00445DD9">
        <w:rPr>
          <w:lang w:val="tr-TR"/>
        </w:rPr>
        <w:t>,</w:t>
      </w:r>
      <w:r w:rsidR="005A7419" w:rsidRPr="005A7419">
        <w:t xml:space="preserve"> </w:t>
      </w:r>
      <w:r w:rsidR="005A7419">
        <w:t>V</w:t>
      </w:r>
      <w:r w:rsidR="005A7419" w:rsidRPr="005A7419">
        <w:rPr>
          <w:lang w:val="tr-TR"/>
        </w:rPr>
        <w:t>erlag Vittorio Klostermann, Frankfurt. 1959.</w:t>
      </w:r>
      <w:r w:rsidR="00445DD9">
        <w:rPr>
          <w:lang w:val="tr-TR"/>
        </w:rPr>
        <w:t xml:space="preserve"> s.</w:t>
      </w:r>
      <w:r w:rsidR="001669A0">
        <w:rPr>
          <w:lang w:val="tr-TR"/>
        </w:rPr>
        <w:t>26vd.</w:t>
      </w:r>
    </w:p>
  </w:footnote>
  <w:footnote w:id="32">
    <w:p w14:paraId="5A15D706" w14:textId="54259440" w:rsidR="00C66482" w:rsidRPr="00C66482" w:rsidRDefault="00C66482" w:rsidP="00EE6BAE">
      <w:pPr>
        <w:pStyle w:val="FootnoteText"/>
        <w:jc w:val="both"/>
        <w:rPr>
          <w:lang w:val="tr-TR"/>
        </w:rPr>
      </w:pPr>
      <w:r>
        <w:rPr>
          <w:rStyle w:val="FootnoteReference"/>
        </w:rPr>
        <w:footnoteRef/>
      </w:r>
      <w:r w:rsidRPr="00C66482">
        <w:rPr>
          <w:lang w:val="tr-TR"/>
        </w:rPr>
        <w:t xml:space="preserve"> </w:t>
      </w:r>
      <w:r>
        <w:rPr>
          <w:lang w:val="tr-TR"/>
        </w:rPr>
        <w:t>Esasında burada yeniden bir inşadan öte yeni bir inşa(</w:t>
      </w:r>
      <w:r w:rsidRPr="00450D96">
        <w:rPr>
          <w:i/>
          <w:iCs/>
          <w:lang w:val="tr-TR"/>
        </w:rPr>
        <w:t>Neuaufbau</w:t>
      </w:r>
      <w:r>
        <w:rPr>
          <w:lang w:val="tr-TR"/>
        </w:rPr>
        <w:t>) söz konusudur ve  burada amaç “hasta ” Almanya’yı restore etmek değil; tam tersi  yeni bir yapı inşa etmektir. Bunun da en önemli temellerinden birini daha etkin, sağlam ve daha “militan” bir  yargı( anayasa yargısı) oluşturmaktadır. Bkz. Daly, s.</w:t>
      </w:r>
      <w:r w:rsidR="00304F7F">
        <w:rPr>
          <w:lang w:val="tr-TR"/>
        </w:rPr>
        <w:t>71.</w:t>
      </w:r>
    </w:p>
  </w:footnote>
  <w:footnote w:id="33">
    <w:p w14:paraId="2F29050B" w14:textId="11C2F25B" w:rsidR="00C72C60" w:rsidRPr="00875ED1" w:rsidRDefault="00C72C60" w:rsidP="00875ED1">
      <w:pPr>
        <w:pStyle w:val="FootnoteText"/>
        <w:jc w:val="both"/>
        <w:rPr>
          <w:color w:val="FF0000"/>
          <w:lang w:val="tr-TR"/>
        </w:rPr>
      </w:pPr>
      <w:r>
        <w:rPr>
          <w:rStyle w:val="FootnoteReference"/>
        </w:rPr>
        <w:footnoteRef/>
      </w:r>
      <w:r w:rsidR="00CD7A71">
        <w:rPr>
          <w:color w:val="FF0000"/>
          <w:lang w:val="tr-TR"/>
        </w:rPr>
        <w:t xml:space="preserve"> </w:t>
      </w:r>
      <w:r w:rsidR="00CD7A71" w:rsidRPr="00CD7A71">
        <w:rPr>
          <w:lang w:val="tr-TR"/>
        </w:rPr>
        <w:t>Bkz</w:t>
      </w:r>
      <w:r w:rsidR="00CD7A71">
        <w:rPr>
          <w:color w:val="FF0000"/>
          <w:lang w:val="tr-TR"/>
        </w:rPr>
        <w:t>.</w:t>
      </w:r>
      <w:r w:rsidR="00875ED1" w:rsidRPr="00875ED1">
        <w:rPr>
          <w:color w:val="FF0000"/>
          <w:lang w:val="tr-TR"/>
        </w:rPr>
        <w:t xml:space="preserve"> </w:t>
      </w:r>
      <w:r w:rsidR="00875ED1" w:rsidRPr="003B724C">
        <w:rPr>
          <w:lang w:val="tr-TR"/>
        </w:rPr>
        <w:t xml:space="preserve">Friedrich Karl Fromme, </w:t>
      </w:r>
      <w:r w:rsidRPr="003B724C">
        <w:rPr>
          <w:lang w:val="tr-TR"/>
        </w:rPr>
        <w:t xml:space="preserve"> </w:t>
      </w:r>
      <w:r w:rsidR="0012270D" w:rsidRPr="003B724C">
        <w:t>V</w:t>
      </w:r>
      <w:r w:rsidR="00875ED1" w:rsidRPr="003B724C">
        <w:t>on der Weimarer Verfassung zum Bonner Grundgesetz Die verfassungspolitischen Folgerungen des Parlamentarischen Rates aus Weimarer Republik und nationalsozialistischer Diktatur,</w:t>
      </w:r>
      <w:r w:rsidR="00783C53">
        <w:t xml:space="preserve"> Dritte ergaenzte Auflage</w:t>
      </w:r>
      <w:r w:rsidR="00875ED1" w:rsidRPr="003B724C">
        <w:t xml:space="preserve"> Duncker &amp; Humblot, Berlin </w:t>
      </w:r>
      <w:r w:rsidR="00783C53">
        <w:t>1999</w:t>
      </w:r>
      <w:r w:rsidR="00875ED1" w:rsidRPr="003B724C">
        <w:t>, s.</w:t>
      </w:r>
      <w:r w:rsidR="003B724C" w:rsidRPr="003B724C">
        <w:t>211vd</w:t>
      </w:r>
      <w:r w:rsidR="003B724C">
        <w:rPr>
          <w:color w:val="FF0000"/>
        </w:rPr>
        <w:t>.</w:t>
      </w:r>
    </w:p>
  </w:footnote>
  <w:footnote w:id="34">
    <w:p w14:paraId="797E3058" w14:textId="6FC9C25A" w:rsidR="008E6198" w:rsidRPr="008E6198" w:rsidRDefault="008E6198" w:rsidP="008E6198">
      <w:pPr>
        <w:pStyle w:val="FootnoteText"/>
        <w:jc w:val="both"/>
        <w:rPr>
          <w:lang w:val="tr-TR"/>
        </w:rPr>
      </w:pPr>
      <w:r>
        <w:rPr>
          <w:rStyle w:val="FootnoteReference"/>
        </w:rPr>
        <w:footnoteRef/>
      </w:r>
      <w:r w:rsidRPr="008E6198">
        <w:rPr>
          <w:lang w:val="tr-TR"/>
        </w:rPr>
        <w:t xml:space="preserve"> </w:t>
      </w:r>
      <w:r>
        <w:rPr>
          <w:lang w:val="tr-TR"/>
        </w:rPr>
        <w:t>Fico yönetimine ilişkin bkz.</w:t>
      </w:r>
      <w:r w:rsidR="00F25124">
        <w:rPr>
          <w:lang w:val="tr-TR"/>
        </w:rPr>
        <w:t xml:space="preserve"> David</w:t>
      </w:r>
      <w:r w:rsidRPr="00FD4E18">
        <w:rPr>
          <w:lang w:val="tr-TR"/>
        </w:rPr>
        <w:t xml:space="preserve"> </w:t>
      </w:r>
      <w:r w:rsidRPr="008E6198">
        <w:rPr>
          <w:lang w:val="tr-TR"/>
        </w:rPr>
        <w:t xml:space="preserve">Kosar / </w:t>
      </w:r>
      <w:r w:rsidR="00F25124">
        <w:rPr>
          <w:lang w:val="tr-TR"/>
        </w:rPr>
        <w:t xml:space="preserve"> Jiri </w:t>
      </w:r>
      <w:r w:rsidRPr="008E6198">
        <w:rPr>
          <w:lang w:val="tr-TR"/>
        </w:rPr>
        <w:t>Baros /</w:t>
      </w:r>
      <w:r w:rsidR="00F25124">
        <w:rPr>
          <w:lang w:val="tr-TR"/>
        </w:rPr>
        <w:t xml:space="preserve"> Pavel</w:t>
      </w:r>
      <w:r w:rsidRPr="008E6198">
        <w:rPr>
          <w:lang w:val="tr-TR"/>
        </w:rPr>
        <w:t xml:space="preserve"> Dufek, The Twin Challenges to Seperation</w:t>
      </w:r>
      <w:r>
        <w:rPr>
          <w:lang w:val="tr-TR"/>
        </w:rPr>
        <w:t xml:space="preserve"> </w:t>
      </w:r>
      <w:r w:rsidRPr="008E6198">
        <w:rPr>
          <w:lang w:val="tr-TR"/>
        </w:rPr>
        <w:t>of Powers i</w:t>
      </w:r>
      <w:r>
        <w:rPr>
          <w:lang w:val="tr-TR"/>
        </w:rPr>
        <w:t xml:space="preserve">n </w:t>
      </w:r>
      <w:r w:rsidRPr="008E6198">
        <w:rPr>
          <w:lang w:val="tr-TR"/>
        </w:rPr>
        <w:t>Central Europe: Technocrati Governance and Populism,</w:t>
      </w:r>
      <w:r>
        <w:rPr>
          <w:lang w:val="tr-TR"/>
        </w:rPr>
        <w:t xml:space="preserve"> </w:t>
      </w:r>
      <w:r w:rsidRPr="008E6198">
        <w:rPr>
          <w:lang w:val="tr-TR"/>
        </w:rPr>
        <w:t>European Constutional Law Review, 15(2019)</w:t>
      </w:r>
      <w:r>
        <w:rPr>
          <w:lang w:val="tr-TR"/>
        </w:rPr>
        <w:t>,s.455vd.</w:t>
      </w:r>
    </w:p>
  </w:footnote>
  <w:footnote w:id="35">
    <w:p w14:paraId="58E42996" w14:textId="0BACBDFF" w:rsidR="002A7A6B" w:rsidRPr="002A7A6B" w:rsidRDefault="002A7A6B">
      <w:pPr>
        <w:pStyle w:val="FootnoteText"/>
        <w:rPr>
          <w:lang w:val="tr-TR"/>
        </w:rPr>
      </w:pPr>
      <w:r>
        <w:rPr>
          <w:rStyle w:val="FootnoteReference"/>
        </w:rPr>
        <w:footnoteRef/>
      </w:r>
      <w:r w:rsidRPr="002A7A6B">
        <w:rPr>
          <w:lang w:val="tr-TR"/>
        </w:rPr>
        <w:t xml:space="preserve"> </w:t>
      </w:r>
      <w:r>
        <w:rPr>
          <w:lang w:val="tr-TR"/>
        </w:rPr>
        <w:t>Bu karara ilişkin bkz.</w:t>
      </w:r>
      <w:r w:rsidRPr="002A7A6B">
        <w:rPr>
          <w:lang w:val="en-GB"/>
        </w:rPr>
        <w:t xml:space="preserve"> </w:t>
      </w:r>
      <w:r w:rsidRPr="002A7A6B">
        <w:rPr>
          <w:lang w:val="tr-TR"/>
        </w:rPr>
        <w:t xml:space="preserve">Marek </w:t>
      </w:r>
      <w:bookmarkStart w:id="3" w:name="_Hlk73707585"/>
      <w:r w:rsidRPr="002A7A6B">
        <w:rPr>
          <w:lang w:val="tr-TR"/>
        </w:rPr>
        <w:t xml:space="preserve">Domin, A Part of the Constitution is Unconstitutional, the Slovak Constitutional Court has Ruled’ IACL-AIDC Blog (6 February 2019) </w:t>
      </w:r>
      <w:hyperlink r:id="rId2" w:history="1">
        <w:r w:rsidRPr="000155C0">
          <w:rPr>
            <w:rStyle w:val="Hyperlink"/>
            <w:lang w:val="tr-TR"/>
          </w:rPr>
          <w:t>https://blog-iacl-aidc.org/2019-posts/2019/2/5/a-part-of-the-constitution-is-unconstitutional-the-slovak-constitutional-court-has-ruled</w:t>
        </w:r>
      </w:hyperlink>
      <w:bookmarkEnd w:id="3"/>
      <w:r>
        <w:rPr>
          <w:lang w:val="tr-TR"/>
        </w:rPr>
        <w:t xml:space="preserve"> </w:t>
      </w:r>
    </w:p>
  </w:footnote>
  <w:footnote w:id="36">
    <w:p w14:paraId="6F01B382" w14:textId="4AE2F4E5" w:rsidR="000B3FD2" w:rsidRPr="000B3FD2" w:rsidRDefault="000B3FD2" w:rsidP="000B3FD2">
      <w:pPr>
        <w:pStyle w:val="FootnoteText"/>
        <w:jc w:val="both"/>
        <w:rPr>
          <w:lang w:val="tr-TR"/>
        </w:rPr>
      </w:pPr>
      <w:r>
        <w:rPr>
          <w:rStyle w:val="FootnoteReference"/>
        </w:rPr>
        <w:footnoteRef/>
      </w:r>
      <w:r w:rsidRPr="000B3FD2">
        <w:rPr>
          <w:lang w:val="tr-TR"/>
        </w:rPr>
        <w:t xml:space="preserve"> </w:t>
      </w:r>
      <w:r>
        <w:rPr>
          <w:lang w:val="tr-TR"/>
        </w:rPr>
        <w:t xml:space="preserve"> Fico’nun bir diğer başarısızlığı ise</w:t>
      </w:r>
      <w:r w:rsidRPr="000B3FD2">
        <w:rPr>
          <w:lang w:val="tr-TR"/>
        </w:rPr>
        <w:t xml:space="preserve"> 2014’te yapılan devlet başkanlığı seçimlerini bağımsız aday Andrej Kis-</w:t>
      </w:r>
    </w:p>
    <w:p w14:paraId="3E131588" w14:textId="26ACA14F" w:rsidR="000B3FD2" w:rsidRPr="000B3FD2" w:rsidRDefault="000B3FD2" w:rsidP="000B3FD2">
      <w:pPr>
        <w:pStyle w:val="FootnoteText"/>
        <w:jc w:val="both"/>
        <w:rPr>
          <w:lang w:val="tr-TR"/>
        </w:rPr>
      </w:pPr>
      <w:r w:rsidRPr="000B3FD2">
        <w:rPr>
          <w:lang w:val="tr-TR"/>
        </w:rPr>
        <w:t xml:space="preserve">ka’nın kazanması </w:t>
      </w:r>
      <w:r>
        <w:rPr>
          <w:lang w:val="tr-TR"/>
        </w:rPr>
        <w:t xml:space="preserve"> ile Slovakya Anayasa Mahkemesine üye ataması konusundaki planlarının akamete uğramasıdır. Bkz. </w:t>
      </w:r>
      <w:r w:rsidRPr="000B3FD2">
        <w:rPr>
          <w:lang w:val="tr-TR"/>
        </w:rPr>
        <w:t>Kosar/Baros/Dufek, s.455.</w:t>
      </w:r>
    </w:p>
  </w:footnote>
  <w:footnote w:id="37">
    <w:p w14:paraId="54890C3D" w14:textId="3209ED6E" w:rsidR="00F61605" w:rsidRPr="00F61605" w:rsidRDefault="00F61605" w:rsidP="008112F8">
      <w:pPr>
        <w:pStyle w:val="FootnoteText"/>
        <w:jc w:val="both"/>
        <w:rPr>
          <w:lang w:val="tr-TR"/>
        </w:rPr>
      </w:pPr>
      <w:r>
        <w:rPr>
          <w:rStyle w:val="FootnoteReference"/>
        </w:rPr>
        <w:footnoteRef/>
      </w:r>
      <w:r w:rsidRPr="00F61605">
        <w:rPr>
          <w:lang w:val="tr-TR"/>
        </w:rPr>
        <w:t xml:space="preserve"> </w:t>
      </w:r>
      <w:r>
        <w:rPr>
          <w:lang w:val="tr-TR"/>
        </w:rPr>
        <w:t xml:space="preserve">Buna ilişkin bkz. </w:t>
      </w:r>
      <w:bookmarkStart w:id="4" w:name="_Hlk73710718"/>
      <w:r>
        <w:rPr>
          <w:lang w:val="tr-TR"/>
        </w:rPr>
        <w:t>Tolga Şirin/ Erkan Duymaz, Sınırlı İktidardan Uzatmalı Başkanlığa</w:t>
      </w:r>
      <w:r w:rsidRPr="00F61605">
        <w:rPr>
          <w:lang w:val="tr-TR"/>
        </w:rPr>
        <w:t xml:space="preserve">: Devlet Başkanlığı Dönem Sınırlamaları Hakkında Karşılaştırmalı Bir İnceleme, Anayasa Hukuku Dergisi - Cilt: 10/Sayı:19/Yıl:2021, s. </w:t>
      </w:r>
      <w:bookmarkEnd w:id="4"/>
      <w:r>
        <w:rPr>
          <w:lang w:val="tr-TR"/>
        </w:rPr>
        <w:t xml:space="preserve">50. Aynı yönde bkz.  </w:t>
      </w:r>
      <w:r w:rsidR="005C08E5">
        <w:rPr>
          <w:lang w:val="tr-TR"/>
        </w:rPr>
        <w:t>Landau</w:t>
      </w:r>
      <w:r w:rsidR="00B152E2">
        <w:rPr>
          <w:lang w:val="tr-TR"/>
        </w:rPr>
        <w:t>/Dixon</w:t>
      </w:r>
      <w:r w:rsidR="005C08E5">
        <w:rPr>
          <w:lang w:val="tr-TR"/>
        </w:rPr>
        <w:t>, s.1354.</w:t>
      </w:r>
      <w:r w:rsidRPr="00F61605">
        <w:rPr>
          <w:lang w:val="tr-TR"/>
        </w:rPr>
        <w:t xml:space="preserve"> </w:t>
      </w:r>
      <w:r w:rsidR="008112F8">
        <w:rPr>
          <w:lang w:val="tr-TR"/>
        </w:rPr>
        <w:t xml:space="preserve"> </w:t>
      </w:r>
      <w:r w:rsidR="005D4480">
        <w:rPr>
          <w:lang w:val="tr-TR"/>
        </w:rPr>
        <w:t>Yazarlar</w:t>
      </w:r>
      <w:r w:rsidRPr="00F61605">
        <w:rPr>
          <w:lang w:val="tr-TR"/>
        </w:rPr>
        <w:t>,</w:t>
      </w:r>
      <w:r w:rsidR="008112F8">
        <w:rPr>
          <w:lang w:val="tr-TR"/>
        </w:rPr>
        <w:t xml:space="preserve"> bu karar ışığında</w:t>
      </w:r>
      <w:r w:rsidRPr="00F61605">
        <w:rPr>
          <w:lang w:val="tr-TR"/>
        </w:rPr>
        <w:t xml:space="preserve"> anayasa mahkemelerince kullanılan anayasa aykırı anayasa değişikliği doktrininin özellikle hiper-başkanlık sistemlerinde önemli bir fren mekanizması olduğunu </w:t>
      </w:r>
      <w:r w:rsidR="008112F8">
        <w:rPr>
          <w:lang w:val="tr-TR"/>
        </w:rPr>
        <w:t>vurgulamaktadır</w:t>
      </w:r>
      <w:r w:rsidRPr="00F61605">
        <w:rPr>
          <w:lang w:val="tr-TR"/>
        </w:rPr>
        <w:t>.</w:t>
      </w:r>
      <w:r w:rsidR="002F3383">
        <w:rPr>
          <w:lang w:val="tr-TR"/>
        </w:rPr>
        <w:t xml:space="preserve"> II. Dünya Savaşı sonrasında parlamenter rejimin</w:t>
      </w:r>
      <w:r w:rsidR="00C6692C">
        <w:rPr>
          <w:lang w:val="tr-TR"/>
        </w:rPr>
        <w:t xml:space="preserve"> uygulandığı en başarılı örneklerden biri olan Federal Almanya’da dahi şansölyenin görev süresin belirli bir sınır koymanın demokratik yaşam açısından daha faydalı olacağı öğretide dile getirilmeye başlanmıştır. Bkz.</w:t>
      </w:r>
      <w:r w:rsidR="000A1C87">
        <w:rPr>
          <w:lang w:val="tr-TR"/>
        </w:rPr>
        <w:t xml:space="preserve"> Christoph Degenhart, </w:t>
      </w:r>
      <w:r w:rsidR="000A1C87" w:rsidRPr="000A1C87">
        <w:rPr>
          <w:lang w:val="tr-TR"/>
        </w:rPr>
        <w:t>Herrschaft auf Zeit</w:t>
      </w:r>
      <w:r w:rsidR="000A1C87">
        <w:rPr>
          <w:lang w:val="tr-TR"/>
        </w:rPr>
        <w:t>,</w:t>
      </w:r>
      <w:r w:rsidR="00A30BE0">
        <w:rPr>
          <w:lang w:val="tr-TR"/>
        </w:rPr>
        <w:t xml:space="preserve"> </w:t>
      </w:r>
      <w:hyperlink r:id="rId3" w:history="1">
        <w:r w:rsidR="00A30BE0" w:rsidRPr="00DB1053">
          <w:rPr>
            <w:rStyle w:val="Hyperlink"/>
            <w:lang w:val="tr-TR"/>
          </w:rPr>
          <w:t>https://rsw.beck.de/aktuell/daily/magazin/detail/herrschaft-auf-zeit</w:t>
        </w:r>
      </w:hyperlink>
      <w:r w:rsidR="00A30BE0">
        <w:rPr>
          <w:lang w:val="tr-TR"/>
        </w:rPr>
        <w:t xml:space="preserve"> (Erişim tarihi:14.10.2021)</w:t>
      </w:r>
    </w:p>
  </w:footnote>
  <w:footnote w:id="38">
    <w:p w14:paraId="051B3A66" w14:textId="0DCC4CAC" w:rsidR="005D5C1F" w:rsidRPr="005D5C1F" w:rsidRDefault="005D5C1F">
      <w:pPr>
        <w:pStyle w:val="FootnoteText"/>
        <w:rPr>
          <w:lang w:val="tr-TR"/>
        </w:rPr>
      </w:pPr>
      <w:r>
        <w:rPr>
          <w:rStyle w:val="FootnoteReference"/>
        </w:rPr>
        <w:footnoteRef/>
      </w:r>
      <w:r w:rsidRPr="005D5C1F">
        <w:rPr>
          <w:lang w:val="tr-TR"/>
        </w:rPr>
        <w:t xml:space="preserve"> </w:t>
      </w:r>
      <w:r>
        <w:rPr>
          <w:lang w:val="tr-TR"/>
        </w:rPr>
        <w:t>Şirin/Duymaz, s.50.</w:t>
      </w:r>
    </w:p>
  </w:footnote>
  <w:footnote w:id="39">
    <w:p w14:paraId="35BFD9E4" w14:textId="5DD0822E" w:rsidR="00C30366" w:rsidRPr="00C30366" w:rsidRDefault="00C30366" w:rsidP="00C30366">
      <w:pPr>
        <w:pStyle w:val="FootnoteText"/>
        <w:rPr>
          <w:lang w:val="en-GB"/>
        </w:rPr>
      </w:pPr>
      <w:r>
        <w:rPr>
          <w:rStyle w:val="FootnoteReference"/>
        </w:rPr>
        <w:footnoteRef/>
      </w:r>
      <w:r w:rsidRPr="001043FD">
        <w:rPr>
          <w:lang w:val="tr-TR"/>
        </w:rPr>
        <w:t xml:space="preserve"> Bu kararlara ilişkin bkz. </w:t>
      </w:r>
      <w:r w:rsidRPr="00C30366">
        <w:rPr>
          <w:lang w:val="en-GB"/>
        </w:rPr>
        <w:t>Manuel José Cepeda-Espinosa</w:t>
      </w:r>
      <w:r>
        <w:rPr>
          <w:lang w:val="en-GB"/>
        </w:rPr>
        <w:t>,</w:t>
      </w:r>
      <w:r w:rsidRPr="00C30366">
        <w:rPr>
          <w:lang w:val="en-GB"/>
        </w:rPr>
        <w:t xml:space="preserve">  Judicial Activism in a Violent Context: The Origin, Role, and</w:t>
      </w:r>
      <w:r>
        <w:rPr>
          <w:lang w:val="en-GB"/>
        </w:rPr>
        <w:t xml:space="preserve"> </w:t>
      </w:r>
      <w:r w:rsidRPr="00C30366">
        <w:rPr>
          <w:lang w:val="en-GB"/>
        </w:rPr>
        <w:t>Impact of the Colombian Constitutional Court</w:t>
      </w:r>
      <w:r>
        <w:rPr>
          <w:lang w:val="en-GB"/>
        </w:rPr>
        <w:t xml:space="preserve"> </w:t>
      </w:r>
      <w:r w:rsidRPr="00C30366">
        <w:rPr>
          <w:lang w:val="en-GB"/>
        </w:rPr>
        <w:t>Volume 3, Issue 4 (2004) Judicial Activism in a Violent Context: The Origin, Role, and Impact of the Colombian Constitutional Court</w:t>
      </w:r>
      <w:r>
        <w:rPr>
          <w:lang w:val="en-GB"/>
        </w:rPr>
        <w:t>, s. 537-687.</w:t>
      </w:r>
    </w:p>
  </w:footnote>
  <w:footnote w:id="40">
    <w:p w14:paraId="7856C170" w14:textId="4170B6A6" w:rsidR="00C30366" w:rsidRPr="00C30366" w:rsidRDefault="00C30366">
      <w:pPr>
        <w:pStyle w:val="FootnoteText"/>
        <w:rPr>
          <w:lang w:val="en-GB"/>
        </w:rPr>
      </w:pPr>
      <w:r>
        <w:rPr>
          <w:rStyle w:val="FootnoteReference"/>
        </w:rPr>
        <w:footnoteRef/>
      </w:r>
      <w:r w:rsidRPr="00C30366">
        <w:rPr>
          <w:lang w:val="en-GB"/>
        </w:rPr>
        <w:t>B</w:t>
      </w:r>
      <w:r>
        <w:rPr>
          <w:lang w:val="en-GB"/>
        </w:rPr>
        <w:t>kz. Daly, s.100.</w:t>
      </w:r>
    </w:p>
  </w:footnote>
  <w:footnote w:id="41">
    <w:p w14:paraId="7C2B0B72" w14:textId="5C61A32E" w:rsidR="00D45877" w:rsidRPr="00D45877" w:rsidRDefault="00D45877">
      <w:pPr>
        <w:pStyle w:val="FootnoteText"/>
        <w:rPr>
          <w:lang w:val="tr-TR"/>
        </w:rPr>
      </w:pPr>
      <w:r>
        <w:rPr>
          <w:rStyle w:val="FootnoteReference"/>
        </w:rPr>
        <w:footnoteRef/>
      </w:r>
      <w:r w:rsidRPr="00D45877">
        <w:rPr>
          <w:lang w:val="tr-TR"/>
        </w:rPr>
        <w:t xml:space="preserve"> </w:t>
      </w:r>
      <w:r>
        <w:rPr>
          <w:lang w:val="tr-TR"/>
        </w:rPr>
        <w:t>Bolivya Parlamentosunun bu kararına ilişkin bkz.</w:t>
      </w:r>
      <w:r w:rsidRPr="00A62673">
        <w:rPr>
          <w:lang w:val="tr-TR"/>
        </w:rPr>
        <w:t xml:space="preserve"> </w:t>
      </w:r>
      <w:hyperlink r:id="rId4" w:history="1">
        <w:r w:rsidRPr="00854AF6">
          <w:rPr>
            <w:rStyle w:val="Hyperlink"/>
            <w:lang w:val="tr-TR"/>
          </w:rPr>
          <w:t>https://www.bbc.com/news/world-latin-america-22605030</w:t>
        </w:r>
      </w:hyperlink>
      <w:r>
        <w:rPr>
          <w:lang w:val="tr-TR"/>
        </w:rPr>
        <w:t xml:space="preserve"> (Erişim tarihi:10.10.2021)</w:t>
      </w:r>
      <w:r w:rsidR="008D5F6E">
        <w:rPr>
          <w:lang w:val="tr-TR"/>
        </w:rPr>
        <w:t xml:space="preserve"> </w:t>
      </w:r>
    </w:p>
  </w:footnote>
  <w:footnote w:id="42">
    <w:p w14:paraId="47C6CE73" w14:textId="6A6378B2" w:rsidR="000A76A8" w:rsidRPr="000A76A8" w:rsidRDefault="000A76A8">
      <w:pPr>
        <w:pStyle w:val="FootnoteText"/>
        <w:rPr>
          <w:lang w:val="tr-TR"/>
        </w:rPr>
      </w:pPr>
      <w:r>
        <w:rPr>
          <w:rStyle w:val="FootnoteReference"/>
        </w:rPr>
        <w:footnoteRef/>
      </w:r>
      <w:r w:rsidRPr="001043FD">
        <w:rPr>
          <w:lang w:val="tr-TR"/>
        </w:rPr>
        <w:t xml:space="preserve"> </w:t>
      </w:r>
      <w:r>
        <w:rPr>
          <w:lang w:val="tr-TR"/>
        </w:rPr>
        <w:t>Landau</w:t>
      </w:r>
      <w:r w:rsidR="005D4480">
        <w:rPr>
          <w:lang w:val="tr-TR"/>
        </w:rPr>
        <w:t>/Dixon</w:t>
      </w:r>
      <w:r>
        <w:rPr>
          <w:lang w:val="tr-TR"/>
        </w:rPr>
        <w:t>, s.1358.</w:t>
      </w:r>
    </w:p>
  </w:footnote>
  <w:footnote w:id="43">
    <w:p w14:paraId="092F2D2E" w14:textId="04EAFFF4" w:rsidR="00F23B17" w:rsidRPr="00F23B17" w:rsidRDefault="00F23B17">
      <w:pPr>
        <w:pStyle w:val="FootnoteText"/>
        <w:rPr>
          <w:lang w:val="tr-TR"/>
        </w:rPr>
      </w:pPr>
      <w:r>
        <w:rPr>
          <w:rStyle w:val="FootnoteReference"/>
        </w:rPr>
        <w:footnoteRef/>
      </w:r>
      <w:r w:rsidRPr="00F23B17">
        <w:rPr>
          <w:lang w:val="tr-TR"/>
        </w:rPr>
        <w:t xml:space="preserve"> </w:t>
      </w:r>
      <w:r>
        <w:rPr>
          <w:lang w:val="tr-TR"/>
        </w:rPr>
        <w:t>Landau/Dixon, s.</w:t>
      </w:r>
      <w:r w:rsidR="00783177">
        <w:rPr>
          <w:lang w:val="tr-TR"/>
        </w:rPr>
        <w:t xml:space="preserve"> 1362.</w:t>
      </w:r>
    </w:p>
  </w:footnote>
  <w:footnote w:id="44">
    <w:p w14:paraId="711D4EEE" w14:textId="0973C26D" w:rsidR="00A158E4" w:rsidRPr="00A158E4" w:rsidRDefault="00A158E4">
      <w:pPr>
        <w:pStyle w:val="FootnoteText"/>
        <w:rPr>
          <w:lang w:val="tr-TR"/>
        </w:rPr>
      </w:pPr>
      <w:r>
        <w:rPr>
          <w:rStyle w:val="FootnoteReference"/>
        </w:rPr>
        <w:footnoteRef/>
      </w:r>
      <w:r w:rsidRPr="00A158E4">
        <w:rPr>
          <w:lang w:val="tr-TR"/>
        </w:rPr>
        <w:t xml:space="preserve"> </w:t>
      </w:r>
      <w:r>
        <w:rPr>
          <w:lang w:val="tr-TR"/>
        </w:rPr>
        <w:t>AYM, Zübeyde Füsun Üstel ve Diğerleri Başvurusu,</w:t>
      </w:r>
      <w:r w:rsidRPr="00A158E4">
        <w:rPr>
          <w:lang w:val="tr-TR"/>
        </w:rPr>
        <w:t xml:space="preserve"> Başvuru Numarası: 2018/17635</w:t>
      </w:r>
      <w:r>
        <w:rPr>
          <w:lang w:val="tr-TR"/>
        </w:rPr>
        <w:t xml:space="preserve">; AYM, Şaban Sevinç Başvurusu-II, </w:t>
      </w:r>
      <w:r w:rsidRPr="00A158E4">
        <w:rPr>
          <w:lang w:val="tr-TR"/>
        </w:rPr>
        <w:t>Karar Tarihi:26/5/2021</w:t>
      </w:r>
      <w:r>
        <w:rPr>
          <w:lang w:val="tr-TR"/>
        </w:rPr>
        <w:t>.</w:t>
      </w:r>
    </w:p>
  </w:footnote>
  <w:footnote w:id="45">
    <w:p w14:paraId="65B8AE6F" w14:textId="2C116619" w:rsidR="00A158E4" w:rsidRPr="00A158E4" w:rsidRDefault="00A158E4">
      <w:pPr>
        <w:pStyle w:val="FootnoteText"/>
        <w:rPr>
          <w:lang w:val="tr-TR"/>
        </w:rPr>
      </w:pPr>
      <w:r>
        <w:rPr>
          <w:rStyle w:val="FootnoteReference"/>
        </w:rPr>
        <w:footnoteRef/>
      </w:r>
      <w:r w:rsidRPr="00A158E4">
        <w:rPr>
          <w:lang w:val="tr-TR"/>
        </w:rPr>
        <w:t xml:space="preserve"> </w:t>
      </w:r>
      <w:r>
        <w:rPr>
          <w:lang w:val="tr-TR"/>
        </w:rPr>
        <w:t xml:space="preserve">AYM, Osman Erbil Başvurusu, </w:t>
      </w:r>
      <w:r w:rsidRPr="00A158E4">
        <w:rPr>
          <w:lang w:val="tr-TR"/>
        </w:rPr>
        <w:t>Başvuru Numarası: 2013/2394</w:t>
      </w:r>
      <w:r>
        <w:rPr>
          <w:lang w:val="tr-TR"/>
        </w:rPr>
        <w:t>.</w:t>
      </w:r>
    </w:p>
  </w:footnote>
  <w:footnote w:id="46">
    <w:p w14:paraId="7D67B41C" w14:textId="6CBD9528" w:rsidR="00A158E4" w:rsidRPr="00A158E4" w:rsidRDefault="00A158E4">
      <w:pPr>
        <w:pStyle w:val="FootnoteText"/>
        <w:rPr>
          <w:lang w:val="tr-TR"/>
        </w:rPr>
      </w:pPr>
      <w:r>
        <w:rPr>
          <w:rStyle w:val="FootnoteReference"/>
        </w:rPr>
        <w:footnoteRef/>
      </w:r>
      <w:r w:rsidRPr="00A158E4">
        <w:rPr>
          <w:lang w:val="tr-TR"/>
        </w:rPr>
        <w:t xml:space="preserve"> </w:t>
      </w:r>
      <w:r>
        <w:rPr>
          <w:lang w:val="tr-TR"/>
        </w:rPr>
        <w:t>AYM,</w:t>
      </w:r>
      <w:r w:rsidRPr="00A158E4">
        <w:rPr>
          <w:lang w:val="tr-TR"/>
        </w:rPr>
        <w:t xml:space="preserve"> </w:t>
      </w:r>
      <w:r>
        <w:rPr>
          <w:lang w:val="tr-TR"/>
        </w:rPr>
        <w:t xml:space="preserve">Erdem Gül ve Can Dündar Başvurusu, </w:t>
      </w:r>
      <w:r w:rsidRPr="00A158E4">
        <w:rPr>
          <w:lang w:val="tr-TR"/>
        </w:rPr>
        <w:t>Başvuru Numarası: 2015/18567</w:t>
      </w:r>
      <w:r>
        <w:rPr>
          <w:lang w:val="tr-TR"/>
        </w:rPr>
        <w:t>.</w:t>
      </w:r>
    </w:p>
  </w:footnote>
  <w:footnote w:id="47">
    <w:p w14:paraId="27D1A0C2" w14:textId="2FB6596D" w:rsidR="00A158E4" w:rsidRPr="00A158E4" w:rsidRDefault="00A158E4">
      <w:pPr>
        <w:pStyle w:val="FootnoteText"/>
        <w:rPr>
          <w:lang w:val="tr-TR"/>
        </w:rPr>
      </w:pPr>
      <w:r>
        <w:rPr>
          <w:rStyle w:val="FootnoteReference"/>
        </w:rPr>
        <w:footnoteRef/>
      </w:r>
      <w:r w:rsidRPr="00A158E4">
        <w:rPr>
          <w:lang w:val="tr-TR"/>
        </w:rPr>
        <w:t xml:space="preserve"> </w:t>
      </w:r>
      <w:r>
        <w:rPr>
          <w:lang w:val="tr-TR"/>
        </w:rPr>
        <w:t xml:space="preserve">AYM, Birleşik Metal İşçileri Başvurusu, Başvuru Numarası: </w:t>
      </w:r>
      <w:r w:rsidRPr="00A158E4">
        <w:rPr>
          <w:lang w:val="tr-TR"/>
        </w:rPr>
        <w:t>2015/14862</w:t>
      </w:r>
      <w:r>
        <w:rPr>
          <w:lang w:val="tr-TR"/>
        </w:rPr>
        <w:t>.</w:t>
      </w:r>
    </w:p>
  </w:footnote>
  <w:footnote w:id="48">
    <w:p w14:paraId="7307A972" w14:textId="1C94177E" w:rsidR="003250D3" w:rsidRPr="003250D3" w:rsidRDefault="003250D3">
      <w:pPr>
        <w:pStyle w:val="FootnoteText"/>
        <w:rPr>
          <w:lang w:val="tr-TR"/>
        </w:rPr>
      </w:pPr>
      <w:r>
        <w:rPr>
          <w:rStyle w:val="FootnoteReference"/>
        </w:rPr>
        <w:footnoteRef/>
      </w:r>
      <w:r w:rsidRPr="003250D3">
        <w:rPr>
          <w:lang w:val="tr-TR"/>
        </w:rPr>
        <w:t xml:space="preserve"> Bkz. Türkiye İ</w:t>
      </w:r>
      <w:r>
        <w:rPr>
          <w:lang w:val="tr-TR"/>
        </w:rPr>
        <w:t xml:space="preserve">nsan Hakları Raporu 2019-2020, </w:t>
      </w:r>
      <w:hyperlink r:id="rId5" w:history="1">
        <w:r w:rsidRPr="008F0CFA">
          <w:rPr>
            <w:rStyle w:val="Hyperlink"/>
            <w:lang w:val="tr-TR"/>
          </w:rPr>
          <w:t>http://tbbyayinlari.barobirlik.org.tr/TBBBooks/650.pdf</w:t>
        </w:r>
      </w:hyperlink>
      <w:r>
        <w:rPr>
          <w:lang w:val="tr-TR"/>
        </w:rPr>
        <w:t xml:space="preserve"> (Erişim tarihi:14.10.2021).</w:t>
      </w:r>
    </w:p>
  </w:footnote>
  <w:footnote w:id="49">
    <w:p w14:paraId="7048D43F" w14:textId="21644683" w:rsidR="002862B9" w:rsidRPr="002862B9" w:rsidRDefault="002862B9" w:rsidP="002862B9">
      <w:pPr>
        <w:pStyle w:val="FootnoteText"/>
        <w:jc w:val="both"/>
        <w:rPr>
          <w:lang w:val="tr-TR"/>
        </w:rPr>
      </w:pPr>
      <w:r>
        <w:rPr>
          <w:rStyle w:val="FootnoteReference"/>
        </w:rPr>
        <w:footnoteRef/>
      </w:r>
      <w:r w:rsidRPr="002862B9">
        <w:rPr>
          <w:lang w:val="tr-TR"/>
        </w:rPr>
        <w:t xml:space="preserve"> </w:t>
      </w:r>
      <w:r>
        <w:rPr>
          <w:lang w:val="tr-TR"/>
        </w:rPr>
        <w:t xml:space="preserve">Bu noktada belirtmek gerekir ki AYM’nin vermiş olduğu kararların sübjektif etkisinin de gerçekleştirilmesi de kolay olmamıştır. Mahkemenin vermiş olduğu çeşitli kararlarında derece mahkemeleri AYM’nin vermiş olduğu ihlal kararlarına direnç göstermiş ve </w:t>
      </w:r>
      <w:r w:rsidR="00C72C60">
        <w:rPr>
          <w:lang w:val="tr-TR"/>
        </w:rPr>
        <w:t xml:space="preserve">ihlal </w:t>
      </w:r>
      <w:r>
        <w:rPr>
          <w:lang w:val="tr-TR"/>
        </w:rPr>
        <w:t>kararların</w:t>
      </w:r>
      <w:r w:rsidR="00C72C60">
        <w:rPr>
          <w:lang w:val="tr-TR"/>
        </w:rPr>
        <w:t xml:space="preserve"> gereğini yerine getirilmesini AYM kararlarının</w:t>
      </w:r>
      <w:r>
        <w:rPr>
          <w:lang w:val="tr-TR"/>
        </w:rPr>
        <w:t xml:space="preserve"> “yerindelik denetimi” içerdiği gibi hukuki temelden yoksun gerekçelerle </w:t>
      </w:r>
      <w:r w:rsidR="00C72C60">
        <w:rPr>
          <w:lang w:val="tr-TR"/>
        </w:rPr>
        <w:t>reddetmiştir. AYM ise bunun üzerine AYM kararlarının bağlayıcılığı ve bu kararların icrasının hukuk devleti için olmazsa olmaz(</w:t>
      </w:r>
      <w:r w:rsidR="00C72C60" w:rsidRPr="00C72C60">
        <w:rPr>
          <w:i/>
          <w:iCs/>
          <w:lang w:val="tr-TR"/>
        </w:rPr>
        <w:t>sine qua non</w:t>
      </w:r>
      <w:r w:rsidR="00C72C60">
        <w:rPr>
          <w:lang w:val="tr-TR"/>
        </w:rPr>
        <w:t>)</w:t>
      </w:r>
      <w:r>
        <w:rPr>
          <w:lang w:val="tr-TR"/>
        </w:rPr>
        <w:t xml:space="preserve"> </w:t>
      </w:r>
      <w:r w:rsidR="00C72C60">
        <w:rPr>
          <w:lang w:val="tr-TR"/>
        </w:rPr>
        <w:t>bir gereklilik olduğunu da belirten ikinci ihlal kararları vermek durumunda kalmış ve kararların icrası ancak bu şekilde yerine getirilebilmiştir. Bu bağlamda</w:t>
      </w:r>
      <w:r w:rsidR="00943F20">
        <w:rPr>
          <w:lang w:val="tr-TR"/>
        </w:rPr>
        <w:t xml:space="preserve"> Mahkeme’nin</w:t>
      </w:r>
      <w:r w:rsidR="00C72C60">
        <w:rPr>
          <w:lang w:val="tr-TR"/>
        </w:rPr>
        <w:t xml:space="preserve"> hukuk devletinin retorikten ibaret olmadığına ve AYM kararlarının uygulanmamasının anayasal düzenin ağır ihlali olacağına ilişkin</w:t>
      </w:r>
      <w:r w:rsidR="00943F20">
        <w:rPr>
          <w:lang w:val="tr-TR"/>
        </w:rPr>
        <w:t xml:space="preserve"> tespitleri için</w:t>
      </w:r>
      <w:r w:rsidR="00C72C60">
        <w:rPr>
          <w:lang w:val="tr-TR"/>
        </w:rPr>
        <w:t xml:space="preserve"> bkz. </w:t>
      </w:r>
      <w:r w:rsidR="00823185">
        <w:rPr>
          <w:lang w:val="tr-TR"/>
        </w:rPr>
        <w:t xml:space="preserve"> AYM</w:t>
      </w:r>
      <w:r w:rsidR="00C72C60">
        <w:rPr>
          <w:lang w:val="tr-TR"/>
        </w:rPr>
        <w:t xml:space="preserve"> </w:t>
      </w:r>
      <w:r w:rsidR="00C72C60" w:rsidRPr="00C72C60">
        <w:rPr>
          <w:lang w:val="tr-TR"/>
        </w:rPr>
        <w:t>Kadri Enis Berberoğlu-3 Başvurusu, B</w:t>
      </w:r>
      <w:r w:rsidR="00C72C60">
        <w:rPr>
          <w:lang w:val="tr-TR"/>
        </w:rPr>
        <w:t xml:space="preserve">ireysel Başvuru </w:t>
      </w:r>
      <w:r w:rsidR="00C72C60" w:rsidRPr="00C72C60">
        <w:rPr>
          <w:lang w:val="tr-TR"/>
        </w:rPr>
        <w:t>N</w:t>
      </w:r>
      <w:r w:rsidR="00C72C60">
        <w:rPr>
          <w:lang w:val="tr-TR"/>
        </w:rPr>
        <w:t>umarası</w:t>
      </w:r>
      <w:r w:rsidR="00C72C60" w:rsidRPr="00C72C60">
        <w:rPr>
          <w:lang w:val="tr-TR"/>
        </w:rPr>
        <w:t>: 2020/32949, 21/1/2021.</w:t>
      </w:r>
    </w:p>
  </w:footnote>
  <w:footnote w:id="50">
    <w:p w14:paraId="0367F177" w14:textId="49CC630B" w:rsidR="0051542E" w:rsidRPr="0051542E" w:rsidRDefault="0081574D" w:rsidP="00E629AE">
      <w:pPr>
        <w:pStyle w:val="FootnoteText"/>
        <w:jc w:val="both"/>
        <w:rPr>
          <w:lang w:val="tr-TR"/>
        </w:rPr>
      </w:pPr>
      <w:r>
        <w:rPr>
          <w:rStyle w:val="FootnoteReference"/>
        </w:rPr>
        <w:footnoteRef/>
      </w:r>
      <w:r w:rsidRPr="0081574D">
        <w:rPr>
          <w:lang w:val="tr-TR"/>
        </w:rPr>
        <w:t xml:space="preserve"> </w:t>
      </w:r>
      <w:r>
        <w:rPr>
          <w:lang w:val="tr-TR"/>
        </w:rPr>
        <w:t xml:space="preserve">Bireysel başvurunun objektif yönüne ilişkin </w:t>
      </w:r>
      <w:r w:rsidRPr="0051542E">
        <w:rPr>
          <w:lang w:val="tr-TR"/>
        </w:rPr>
        <w:t>Christian Hillgruber/Christoph Goos, Verfassungsprozessrecht,</w:t>
      </w:r>
      <w:r w:rsidR="0051542E" w:rsidRPr="0051542E">
        <w:rPr>
          <w:lang w:val="tr-TR"/>
        </w:rPr>
        <w:t xml:space="preserve"> C.f.Müller Verlag, Heidelberg 2011,</w:t>
      </w:r>
      <w:r w:rsidRPr="0051542E">
        <w:rPr>
          <w:lang w:val="tr-TR"/>
        </w:rPr>
        <w:t xml:space="preserve"> </w:t>
      </w:r>
      <w:r w:rsidR="0000638A" w:rsidRPr="0051542E">
        <w:rPr>
          <w:lang w:val="tr-TR"/>
        </w:rPr>
        <w:t>s. 35.</w:t>
      </w:r>
      <w:r w:rsidR="0051542E">
        <w:rPr>
          <w:lang w:val="tr-TR"/>
        </w:rPr>
        <w:t xml:space="preserve"> Bireysel başvurunun sübjektif yön</w:t>
      </w:r>
      <w:r w:rsidR="00A630F3">
        <w:rPr>
          <w:lang w:val="tr-TR"/>
        </w:rPr>
        <w:t xml:space="preserve">ü bireylerin temel hakları ve temel hak benzeri anayasal değerlerinin efektif biçimde uygulanabilmesine hizmet etmekteyken, </w:t>
      </w:r>
      <w:r w:rsidR="00AB64E8">
        <w:rPr>
          <w:lang w:val="tr-TR"/>
        </w:rPr>
        <w:t xml:space="preserve"> objektif etki ise anayasanın korunması, geliştirilmesi ve  yorumlanmasına hizmet eder. Böylece </w:t>
      </w:r>
      <w:r w:rsidR="00FF191C">
        <w:rPr>
          <w:lang w:val="tr-TR"/>
        </w:rPr>
        <w:t xml:space="preserve"> hukuk barışı korunur ve gelecek için hukuki bir açıklık ortaya konulur.</w:t>
      </w:r>
    </w:p>
  </w:footnote>
  <w:footnote w:id="51">
    <w:p w14:paraId="173D73F8" w14:textId="769D5744" w:rsidR="00304329" w:rsidRPr="00304329" w:rsidRDefault="00304329" w:rsidP="00304329">
      <w:pPr>
        <w:pStyle w:val="FootnoteText"/>
        <w:rPr>
          <w:lang w:val="tr-TR"/>
        </w:rPr>
      </w:pPr>
      <w:r>
        <w:rPr>
          <w:rStyle w:val="FootnoteReference"/>
        </w:rPr>
        <w:footnoteRef/>
      </w:r>
      <w:r w:rsidRPr="00304329">
        <w:rPr>
          <w:lang w:val="tr-TR"/>
        </w:rPr>
        <w:t xml:space="preserve"> </w:t>
      </w:r>
      <w:r>
        <w:rPr>
          <w:lang w:val="tr-TR"/>
        </w:rPr>
        <w:t>Bkz. Tolga Şirin,</w:t>
      </w:r>
      <w:r w:rsidRPr="00304329">
        <w:rPr>
          <w:lang w:val="tr-TR"/>
        </w:rPr>
        <w:t xml:space="preserve"> Bireysel </w:t>
      </w:r>
      <w:r>
        <w:rPr>
          <w:lang w:val="tr-TR"/>
        </w:rPr>
        <w:t>Başvuru</w:t>
      </w:r>
      <w:r w:rsidRPr="00304329">
        <w:rPr>
          <w:lang w:val="tr-TR"/>
        </w:rPr>
        <w:t>, Toplumsal Karar ve Anayasal Diyalog:</w:t>
      </w:r>
      <w:r w:rsidR="00E86093">
        <w:rPr>
          <w:lang w:val="tr-TR"/>
        </w:rPr>
        <w:t xml:space="preserve"> </w:t>
      </w:r>
      <w:r w:rsidRPr="00304329">
        <w:rPr>
          <w:lang w:val="tr-TR"/>
        </w:rPr>
        <w:t>Zübeyde F</w:t>
      </w:r>
      <w:r>
        <w:rPr>
          <w:lang w:val="tr-TR"/>
        </w:rPr>
        <w:t>üsun</w:t>
      </w:r>
      <w:r w:rsidRPr="00304329">
        <w:rPr>
          <w:lang w:val="tr-TR"/>
        </w:rPr>
        <w:t xml:space="preserve"> </w:t>
      </w:r>
      <w:r>
        <w:rPr>
          <w:lang w:val="tr-TR"/>
        </w:rPr>
        <w:t>Üstel</w:t>
      </w:r>
      <w:r w:rsidRPr="00304329">
        <w:rPr>
          <w:lang w:val="tr-TR"/>
        </w:rPr>
        <w:t xml:space="preserve"> ve Di</w:t>
      </w:r>
      <w:r>
        <w:rPr>
          <w:rFonts w:ascii="Calibri" w:hAnsi="Calibri" w:cs="Calibri"/>
          <w:lang w:val="tr-TR"/>
        </w:rPr>
        <w:t>ğ</w:t>
      </w:r>
      <w:r w:rsidRPr="00304329">
        <w:rPr>
          <w:lang w:val="tr-TR"/>
        </w:rPr>
        <w:t>erleri Karar</w:t>
      </w:r>
      <w:r>
        <w:rPr>
          <w:lang w:val="tr-TR"/>
        </w:rPr>
        <w:t>ı,</w:t>
      </w:r>
      <w:r w:rsidRPr="00304329">
        <w:rPr>
          <w:lang w:val="tr-TR"/>
        </w:rPr>
        <w:t xml:space="preserve"> Anayasa Hukuku Dergisi - Cilt: 8/</w:t>
      </w:r>
      <w:r>
        <w:rPr>
          <w:lang w:val="tr-TR"/>
        </w:rPr>
        <w:t>Sayı:16/ Yıl:2019, s. 474.</w:t>
      </w:r>
    </w:p>
  </w:footnote>
  <w:footnote w:id="52">
    <w:p w14:paraId="2DC7F113" w14:textId="7FD6E335" w:rsidR="00237CA2" w:rsidRPr="00237CA2" w:rsidRDefault="00237CA2" w:rsidP="00237CA2">
      <w:pPr>
        <w:pStyle w:val="FootnoteText"/>
        <w:rPr>
          <w:lang w:val="tr-TR"/>
        </w:rPr>
      </w:pPr>
      <w:r>
        <w:rPr>
          <w:rStyle w:val="FootnoteReference"/>
        </w:rPr>
        <w:footnoteRef/>
      </w:r>
      <w:r w:rsidRPr="00237CA2">
        <w:rPr>
          <w:lang w:val="tr-TR"/>
        </w:rPr>
        <w:t xml:space="preserve"> </w:t>
      </w:r>
      <w:r>
        <w:rPr>
          <w:lang w:val="tr-TR"/>
        </w:rPr>
        <w:t>Karara ilişkin bkz.</w:t>
      </w:r>
      <w:r w:rsidRPr="00237CA2">
        <w:rPr>
          <w:lang w:val="tr-TR"/>
        </w:rPr>
        <w:t xml:space="preserve"> Necmi Yüzbaşıoğlu, ‘’Hakimler ve Savcılar Yüksek Kurulunun Yeni Yapılanması</w:t>
      </w:r>
      <w:r>
        <w:rPr>
          <w:lang w:val="tr-TR"/>
        </w:rPr>
        <w:t xml:space="preserve"> </w:t>
      </w:r>
      <w:r w:rsidRPr="00237CA2">
        <w:rPr>
          <w:lang w:val="tr-TR"/>
        </w:rPr>
        <w:t>ve İşleyişi İle Bu Süreçte Anayasa Mahkemesinin Tutumu Üzerine Bir Değerlendirme’’, GÜHFD- Doç. Dr. Melike Batur Yamaner’in Anısına Armağan,</w:t>
      </w:r>
      <w:r>
        <w:rPr>
          <w:lang w:val="tr-TR"/>
        </w:rPr>
        <w:t xml:space="preserve"> s.</w:t>
      </w:r>
      <w:r w:rsidR="005E5CEC">
        <w:rPr>
          <w:lang w:val="tr-TR"/>
        </w:rPr>
        <w:t>727.</w:t>
      </w:r>
    </w:p>
  </w:footnote>
  <w:footnote w:id="53">
    <w:p w14:paraId="0197F65B" w14:textId="5D66ACE0" w:rsidR="0019308B" w:rsidRPr="0019308B" w:rsidRDefault="0019308B">
      <w:pPr>
        <w:pStyle w:val="FootnoteText"/>
        <w:rPr>
          <w:lang w:val="tr-TR"/>
        </w:rPr>
      </w:pPr>
      <w:r>
        <w:rPr>
          <w:rStyle w:val="FootnoteReference"/>
        </w:rPr>
        <w:footnoteRef/>
      </w:r>
      <w:r w:rsidRPr="0019308B">
        <w:rPr>
          <w:lang w:val="tr-TR"/>
        </w:rPr>
        <w:t xml:space="preserve"> </w:t>
      </w:r>
      <w:r>
        <w:rPr>
          <w:lang w:val="tr-TR"/>
        </w:rPr>
        <w:t>Bu değişiklikler</w:t>
      </w:r>
      <w:r w:rsidR="00BB5E1E">
        <w:rPr>
          <w:lang w:val="tr-TR"/>
        </w:rPr>
        <w:t>in getirdikleri ve HSYK</w:t>
      </w:r>
      <w:r w:rsidR="00D8225D">
        <w:rPr>
          <w:lang w:val="tr-TR"/>
        </w:rPr>
        <w:t>’nın yapısında getirdiği değişikliklerin yargı bağımsızlığının zayıflaması ve yargıda polarizasyona yol açtığı hususundaki haklı eleştiriler için</w:t>
      </w:r>
      <w:r>
        <w:rPr>
          <w:lang w:val="tr-TR"/>
        </w:rPr>
        <w:t xml:space="preserve"> bkz. Fazıl Sağlam,</w:t>
      </w:r>
      <w:r w:rsidR="00BB5E1E" w:rsidRPr="00BB5E1E">
        <w:rPr>
          <w:lang w:val="tr-TR"/>
        </w:rPr>
        <w:t xml:space="preserve"> Anayasa Değişikliklerinde Hâkimler ve Savcılar (Yüksek) Kurulu’nun Konumu, Güncel Hukuk, Mart 2017, S.42-44.</w:t>
      </w:r>
    </w:p>
  </w:footnote>
  <w:footnote w:id="54">
    <w:p w14:paraId="71FF6876" w14:textId="33E6C312" w:rsidR="003C427A" w:rsidRPr="003C427A" w:rsidRDefault="003C427A">
      <w:pPr>
        <w:pStyle w:val="FootnoteText"/>
        <w:rPr>
          <w:lang w:val="tr-TR"/>
        </w:rPr>
      </w:pPr>
      <w:r>
        <w:rPr>
          <w:rStyle w:val="FootnoteReference"/>
        </w:rPr>
        <w:footnoteRef/>
      </w:r>
      <w:r w:rsidRPr="003C427A">
        <w:rPr>
          <w:lang w:val="tr-TR"/>
        </w:rPr>
        <w:t xml:space="preserve"> AYM E: 2010/49, K: 2010/87, Kt. 7/7/2010.</w:t>
      </w:r>
    </w:p>
  </w:footnote>
  <w:footnote w:id="55">
    <w:p w14:paraId="30C09050" w14:textId="02CB3CFC" w:rsidR="00994742" w:rsidRPr="00994742" w:rsidRDefault="00994742" w:rsidP="00994742">
      <w:pPr>
        <w:pStyle w:val="FootnoteText"/>
        <w:jc w:val="both"/>
        <w:rPr>
          <w:lang w:val="tr-TR"/>
        </w:rPr>
      </w:pPr>
      <w:r>
        <w:rPr>
          <w:rStyle w:val="FootnoteReference"/>
        </w:rPr>
        <w:footnoteRef/>
      </w:r>
      <w:r w:rsidRPr="00994742">
        <w:rPr>
          <w:lang w:val="tr-TR"/>
        </w:rPr>
        <w:t xml:space="preserve"> </w:t>
      </w:r>
      <w:r>
        <w:rPr>
          <w:lang w:val="tr-TR"/>
        </w:rPr>
        <w:t xml:space="preserve">Kararın haklı bir eleştirisi için bkz. Ekrem Ali </w:t>
      </w:r>
      <w:bookmarkStart w:id="5" w:name="_Hlk73740145"/>
      <w:r>
        <w:rPr>
          <w:lang w:val="tr-TR"/>
        </w:rPr>
        <w:t>Akartürk, S</w:t>
      </w:r>
      <w:r w:rsidRPr="00994742">
        <w:rPr>
          <w:lang w:val="tr-TR"/>
        </w:rPr>
        <w:t>ınırlı Denetimden Mutlak Denetimsizliğe: Ohal KHK’lerinin Hukukla İmtihanı (!), Yeditepe Üniversitesi Hukuk Fakültesi Dergisi, Cilt: 13, Sayı: 1, Ocak 2017,</w:t>
      </w:r>
      <w:r>
        <w:rPr>
          <w:lang w:val="tr-TR"/>
        </w:rPr>
        <w:t xml:space="preserve"> s.</w:t>
      </w:r>
      <w:r w:rsidRPr="00994742">
        <w:rPr>
          <w:lang w:val="tr-TR"/>
        </w:rPr>
        <w:t xml:space="preserve"> 197-212</w:t>
      </w:r>
      <w:r>
        <w:rPr>
          <w:lang w:val="tr-TR"/>
        </w:rPr>
        <w:t>.</w:t>
      </w:r>
      <w:r w:rsidR="00F6563E">
        <w:rPr>
          <w:lang w:val="tr-TR"/>
        </w:rPr>
        <w:t xml:space="preserve"> </w:t>
      </w:r>
    </w:p>
    <w:bookmarkEnd w:id="5"/>
  </w:footnote>
  <w:footnote w:id="56">
    <w:p w14:paraId="5652ACE1" w14:textId="44175234" w:rsidR="00C368AE" w:rsidRPr="00C368AE" w:rsidRDefault="00C368AE">
      <w:pPr>
        <w:pStyle w:val="FootnoteText"/>
        <w:rPr>
          <w:lang w:val="tr-TR"/>
        </w:rPr>
      </w:pPr>
      <w:r>
        <w:rPr>
          <w:rStyle w:val="FootnoteReference"/>
        </w:rPr>
        <w:footnoteRef/>
      </w:r>
      <w:r w:rsidRPr="00C368AE">
        <w:rPr>
          <w:lang w:val="tr-TR"/>
        </w:rPr>
        <w:t xml:space="preserve"> </w:t>
      </w:r>
      <w:r>
        <w:rPr>
          <w:lang w:val="tr-TR"/>
        </w:rPr>
        <w:t>Akartürk, s.</w:t>
      </w:r>
      <w:r w:rsidR="00F6563E">
        <w:rPr>
          <w:lang w:val="tr-TR"/>
        </w:rPr>
        <w:t>203vd.</w:t>
      </w:r>
    </w:p>
  </w:footnote>
  <w:footnote w:id="57">
    <w:p w14:paraId="683B6716" w14:textId="4CA5B2C5" w:rsidR="00811AE4" w:rsidRPr="00811AE4" w:rsidRDefault="00811AE4">
      <w:pPr>
        <w:pStyle w:val="FootnoteText"/>
        <w:rPr>
          <w:lang w:val="tr-TR"/>
        </w:rPr>
      </w:pPr>
      <w:r>
        <w:rPr>
          <w:rStyle w:val="FootnoteReference"/>
        </w:rPr>
        <w:footnoteRef/>
      </w:r>
      <w:r w:rsidRPr="00811AE4">
        <w:rPr>
          <w:lang w:val="tr-TR"/>
        </w:rPr>
        <w:t xml:space="preserve"> </w:t>
      </w:r>
      <w:r w:rsidRPr="008D0DDE">
        <w:rPr>
          <w:lang w:val="tr-TR"/>
        </w:rPr>
        <w:t>Kanadoğlu/Duygun,s.</w:t>
      </w:r>
      <w:r w:rsidR="008D0DDE" w:rsidRPr="008D0DDE">
        <w:rPr>
          <w:lang w:val="tr-TR"/>
        </w:rPr>
        <w:t xml:space="preserve"> 416-417</w:t>
      </w:r>
      <w:r w:rsidR="008D0DDE">
        <w:rPr>
          <w:color w:val="FF0000"/>
          <w:lang w:val="tr-TR"/>
        </w:rPr>
        <w:t>.</w:t>
      </w:r>
    </w:p>
  </w:footnote>
  <w:footnote w:id="58">
    <w:p w14:paraId="574B7CA9" w14:textId="612E1855" w:rsidR="00903AE0" w:rsidRPr="00903AE0" w:rsidRDefault="00903AE0" w:rsidP="002C26F3">
      <w:pPr>
        <w:pStyle w:val="FootnoteText"/>
        <w:jc w:val="both"/>
        <w:rPr>
          <w:lang w:val="tr-TR"/>
        </w:rPr>
      </w:pPr>
      <w:r>
        <w:rPr>
          <w:rStyle w:val="FootnoteReference"/>
        </w:rPr>
        <w:footnoteRef/>
      </w:r>
      <w:r w:rsidRPr="00903AE0">
        <w:rPr>
          <w:lang w:val="tr-TR"/>
        </w:rPr>
        <w:t xml:space="preserve"> </w:t>
      </w:r>
      <w:r>
        <w:rPr>
          <w:lang w:val="tr-TR"/>
        </w:rPr>
        <w:t>Akartürk, s.</w:t>
      </w:r>
      <w:r w:rsidR="00DB69A0">
        <w:rPr>
          <w:lang w:val="tr-TR"/>
        </w:rPr>
        <w:t xml:space="preserve"> 207. Mahkemenin OHAL KHK’lerini denetlememe yolundaki kararının sadece iptal davası için geçerli olduğunu, itiraz yolunda ise OHAL KHK’lerini</w:t>
      </w:r>
      <w:r w:rsidR="002C584E">
        <w:rPr>
          <w:lang w:val="tr-TR"/>
        </w:rPr>
        <w:t xml:space="preserve">n anayasaya aykırılığının mahkemelerce ileri sürülebileceğine ilişkin görüş için ise bkz. Taylan Barın, </w:t>
      </w:r>
      <w:r w:rsidR="002C584E" w:rsidRPr="002C584E">
        <w:rPr>
          <w:lang w:val="tr-TR"/>
        </w:rPr>
        <w:t>Temel Hak ve Hürriyetlerin Kullanılmasının Durdurulması ve Sınırlanması Arasında: Kanunlaşan OHAL KHK’larının Yargısal Denetimi, Yıl 2020, Cilt 75, Sayı 2, s.</w:t>
      </w:r>
      <w:r w:rsidR="002C26F3">
        <w:rPr>
          <w:lang w:val="tr-TR"/>
        </w:rPr>
        <w:t>560.</w:t>
      </w:r>
    </w:p>
  </w:footnote>
  <w:footnote w:id="59">
    <w:p w14:paraId="38AD92B2" w14:textId="09D52F45" w:rsidR="00C92A21" w:rsidRPr="008D6357" w:rsidRDefault="00C92A21" w:rsidP="00C92A21">
      <w:pPr>
        <w:pStyle w:val="FootnoteText"/>
        <w:rPr>
          <w:lang w:val="tr-TR"/>
        </w:rPr>
      </w:pPr>
      <w:r>
        <w:rPr>
          <w:rStyle w:val="FootnoteReference"/>
        </w:rPr>
        <w:footnoteRef/>
      </w:r>
      <w:r w:rsidRPr="008D6357">
        <w:rPr>
          <w:lang w:val="tr-TR"/>
        </w:rPr>
        <w:t xml:space="preserve"> </w:t>
      </w:r>
      <w:r>
        <w:rPr>
          <w:lang w:val="tr-TR"/>
        </w:rPr>
        <w:t>Bu kararlardan birine örnek için bkz</w:t>
      </w:r>
      <w:r w:rsidRPr="00C92A21">
        <w:rPr>
          <w:lang w:val="tr-TR"/>
        </w:rPr>
        <w:t>.</w:t>
      </w:r>
      <w:r>
        <w:rPr>
          <w:lang w:val="tr-TR"/>
        </w:rPr>
        <w:t xml:space="preserve"> AYM</w:t>
      </w:r>
      <w:r w:rsidRPr="00C92A21">
        <w:rPr>
          <w:lang w:val="tr-TR"/>
        </w:rPr>
        <w:t xml:space="preserve"> E. 2016/205, K. 2019/63, Kt. 24.7.2019.</w:t>
      </w:r>
    </w:p>
  </w:footnote>
  <w:footnote w:id="60">
    <w:p w14:paraId="32F51C8F" w14:textId="7E42ED8A" w:rsidR="008F525B" w:rsidRPr="008F525B" w:rsidRDefault="008F525B">
      <w:pPr>
        <w:pStyle w:val="FootnoteText"/>
        <w:rPr>
          <w:lang w:val="tr-TR"/>
        </w:rPr>
      </w:pPr>
      <w:r>
        <w:rPr>
          <w:rStyle w:val="FootnoteReference"/>
        </w:rPr>
        <w:footnoteRef/>
      </w:r>
      <w:r w:rsidRPr="008F525B">
        <w:rPr>
          <w:lang w:val="tr-TR"/>
        </w:rPr>
        <w:t xml:space="preserve"> </w:t>
      </w:r>
      <w:r>
        <w:rPr>
          <w:lang w:val="tr-TR"/>
        </w:rPr>
        <w:t>Aynı yönde bkz. Barın,s.</w:t>
      </w:r>
      <w:r w:rsidR="00380DC1">
        <w:rPr>
          <w:lang w:val="tr-TR"/>
        </w:rPr>
        <w:t xml:space="preserve"> 567.</w:t>
      </w:r>
    </w:p>
  </w:footnote>
  <w:footnote w:id="61">
    <w:p w14:paraId="72B8D9CA" w14:textId="23972A79" w:rsidR="00361586" w:rsidRPr="00361586" w:rsidRDefault="00361586">
      <w:pPr>
        <w:pStyle w:val="FootnoteText"/>
        <w:rPr>
          <w:lang w:val="tr-TR"/>
        </w:rPr>
      </w:pPr>
      <w:r>
        <w:rPr>
          <w:rStyle w:val="FootnoteReference"/>
        </w:rPr>
        <w:footnoteRef/>
      </w:r>
      <w:r w:rsidRPr="00361586">
        <w:rPr>
          <w:lang w:val="tr-TR"/>
        </w:rPr>
        <w:t xml:space="preserve"> </w:t>
      </w:r>
      <w:r w:rsidRPr="00BC27FD">
        <w:rPr>
          <w:lang w:val="tr-TR"/>
        </w:rPr>
        <w:t xml:space="preserve">Kanadoğlu/Duygun, </w:t>
      </w:r>
      <w:r w:rsidR="00BC27FD" w:rsidRPr="00BC27FD">
        <w:rPr>
          <w:lang w:val="tr-TR"/>
        </w:rPr>
        <w:t>s.420.</w:t>
      </w:r>
    </w:p>
  </w:footnote>
  <w:footnote w:id="62">
    <w:p w14:paraId="57455E33" w14:textId="7B3F3D18" w:rsidR="00361586" w:rsidRPr="00361586" w:rsidRDefault="00361586">
      <w:pPr>
        <w:pStyle w:val="FootnoteText"/>
        <w:rPr>
          <w:lang w:val="tr-TR"/>
        </w:rPr>
      </w:pPr>
      <w:r>
        <w:rPr>
          <w:rStyle w:val="FootnoteReference"/>
        </w:rPr>
        <w:footnoteRef/>
      </w:r>
      <w:r w:rsidRPr="00361586">
        <w:rPr>
          <w:lang w:val="tr-TR"/>
        </w:rPr>
        <w:t xml:space="preserve"> </w:t>
      </w:r>
      <w:r>
        <w:rPr>
          <w:lang w:val="tr-TR"/>
        </w:rPr>
        <w:t>Aynı yönde bkz.</w:t>
      </w:r>
      <w:r w:rsidR="00FB4B07">
        <w:rPr>
          <w:lang w:val="tr-TR"/>
        </w:rPr>
        <w:t xml:space="preserve"> Kerem Altıparmak/Murat Sevinç/ Dinçer Demirkent,  Atipik KHK’ler ve Daimi Hukuksuzluk-I, Artık Yasaları İdare Mi İptal Edecek?</w:t>
      </w:r>
      <w:r w:rsidR="00EB1E67">
        <w:rPr>
          <w:lang w:val="tr-TR"/>
        </w:rPr>
        <w:t xml:space="preserve">, </w:t>
      </w:r>
      <w:hyperlink r:id="rId6" w:history="1">
        <w:r w:rsidR="00EB1E67" w:rsidRPr="00DB1053">
          <w:rPr>
            <w:rStyle w:val="Hyperlink"/>
            <w:lang w:val="tr-TR"/>
          </w:rPr>
          <w:t>http://www.ihop.org.tr/wp-content/uploads/2018/03/Atipik_OHAL_-KHKleri.pdf</w:t>
        </w:r>
      </w:hyperlink>
      <w:r w:rsidR="00EB1E67">
        <w:rPr>
          <w:lang w:val="tr-TR"/>
        </w:rPr>
        <w:t xml:space="preserve"> (Erişim tarihi:14.10.2021)</w:t>
      </w:r>
    </w:p>
  </w:footnote>
  <w:footnote w:id="63">
    <w:p w14:paraId="688663AE" w14:textId="5881BA44" w:rsidR="001134D9" w:rsidRPr="001134D9" w:rsidRDefault="001134D9" w:rsidP="001134D9">
      <w:pPr>
        <w:pStyle w:val="FootnoteText"/>
        <w:jc w:val="both"/>
        <w:rPr>
          <w:lang w:val="tr-TR"/>
        </w:rPr>
      </w:pPr>
      <w:r>
        <w:rPr>
          <w:rStyle w:val="FootnoteReference"/>
        </w:rPr>
        <w:footnoteRef/>
      </w:r>
      <w:r w:rsidRPr="001134D9">
        <w:rPr>
          <w:lang w:val="tr-TR"/>
        </w:rPr>
        <w:t xml:space="preserve"> </w:t>
      </w:r>
      <w:r>
        <w:rPr>
          <w:lang w:val="tr-TR"/>
        </w:rPr>
        <w:t>Kanuna ilişkin özellikle idare hukuku</w:t>
      </w:r>
      <w:r w:rsidR="007907EB">
        <w:rPr>
          <w:lang w:val="tr-TR"/>
        </w:rPr>
        <w:t xml:space="preserve"> ve kamu tüzel kişiliği</w:t>
      </w:r>
      <w:r>
        <w:rPr>
          <w:lang w:val="tr-TR"/>
        </w:rPr>
        <w:t xml:space="preserve"> çerçevesinden önemli bir eleştiri için bkz.</w:t>
      </w:r>
      <w:r w:rsidRPr="001134D9">
        <w:rPr>
          <w:lang w:val="tr-TR"/>
        </w:rPr>
        <w:t xml:space="preserve"> Ç</w:t>
      </w:r>
      <w:r>
        <w:rPr>
          <w:lang w:val="tr-TR"/>
        </w:rPr>
        <w:t>iğdem Sever, Ç</w:t>
      </w:r>
      <w:r w:rsidRPr="001134D9">
        <w:rPr>
          <w:lang w:val="tr-TR"/>
        </w:rPr>
        <w:t>oklu Baro: Kamu Tüzel Kişiliği Kavramı Üzerinden Bir Analiz</w:t>
      </w:r>
      <w:r>
        <w:rPr>
          <w:lang w:val="tr-TR"/>
        </w:rPr>
        <w:t xml:space="preserve">, Hukuk Defterleri, Sayı 26-27(Temmuz-Ekim), </w:t>
      </w:r>
      <w:r w:rsidRPr="001134D9">
        <w:rPr>
          <w:lang w:val="tr-TR"/>
        </w:rPr>
        <w:t xml:space="preserve"> </w:t>
      </w:r>
      <w:r>
        <w:rPr>
          <w:lang w:val="tr-TR"/>
        </w:rPr>
        <w:t xml:space="preserve"> </w:t>
      </w:r>
      <w:hyperlink r:id="rId7" w:history="1">
        <w:r w:rsidRPr="008A4F0C">
          <w:rPr>
            <w:rStyle w:val="Hyperlink"/>
            <w:lang w:val="tr-TR"/>
          </w:rPr>
          <w:t>https://hukukdefterleri.com/coklu-baro-kamu-tuzel-kisiligi-kavrami-uzerinden-bir-analiz/</w:t>
        </w:r>
      </w:hyperlink>
      <w:r>
        <w:rPr>
          <w:lang w:val="tr-TR"/>
        </w:rPr>
        <w:t xml:space="preserve"> </w:t>
      </w:r>
    </w:p>
  </w:footnote>
  <w:footnote w:id="64">
    <w:p w14:paraId="337E50C4" w14:textId="4D271B72" w:rsidR="002A4D4F" w:rsidRPr="001043FD" w:rsidRDefault="002A4D4F">
      <w:pPr>
        <w:pStyle w:val="FootnoteText"/>
        <w:rPr>
          <w:lang w:val="tr-TR"/>
        </w:rPr>
      </w:pPr>
      <w:r>
        <w:rPr>
          <w:rStyle w:val="FootnoteReference"/>
        </w:rPr>
        <w:footnoteRef/>
      </w:r>
      <w:r w:rsidRPr="001043FD">
        <w:rPr>
          <w:lang w:val="tr-TR"/>
        </w:rPr>
        <w:t xml:space="preserve"> Aynı yönde bkz. Süheyl Batum/ Korkut Kanadoğlu/Şule Özsoy Boyunsuz, Avukatlık Kanununda Değişiklik Yapılmasına Dair 7249 Sayılı Kanun’un Anayasaya Aykırılık Değerlendirilmesi, </w:t>
      </w:r>
      <w:hyperlink r:id="rId8" w:history="1">
        <w:r w:rsidRPr="001043FD">
          <w:rPr>
            <w:rStyle w:val="Hyperlink"/>
            <w:lang w:val="tr-TR"/>
          </w:rPr>
          <w:t>https://www.istanbulbarosu.org.tr/files/docs/AvukatlikKanunuDegis-AVProflar-AnayasayaAykirilikDegerlendirmesi.pdf</w:t>
        </w:r>
      </w:hyperlink>
      <w:r w:rsidRPr="001043FD">
        <w:rPr>
          <w:lang w:val="tr-TR"/>
        </w:rPr>
        <w:t xml:space="preserve">, s.13vd. (Erişim tarihi:14.10.2021) </w:t>
      </w:r>
    </w:p>
  </w:footnote>
  <w:footnote w:id="65">
    <w:p w14:paraId="130361E7" w14:textId="41B898BA" w:rsidR="00504618" w:rsidRPr="001043FD" w:rsidRDefault="00504618">
      <w:pPr>
        <w:pStyle w:val="FootnoteText"/>
        <w:rPr>
          <w:lang w:val="tr-TR"/>
        </w:rPr>
      </w:pPr>
      <w:r>
        <w:rPr>
          <w:rStyle w:val="FootnoteReference"/>
        </w:rPr>
        <w:footnoteRef/>
      </w:r>
      <w:r w:rsidRPr="001043FD">
        <w:rPr>
          <w:lang w:val="tr-TR"/>
        </w:rPr>
        <w:t xml:space="preserve"> AYM, E:2020/60 K:2020/54, K.t. 1.10.2020.</w:t>
      </w:r>
    </w:p>
  </w:footnote>
  <w:footnote w:id="66">
    <w:p w14:paraId="1650D6B0" w14:textId="544B6382" w:rsidR="00354AED" w:rsidRPr="001043FD" w:rsidRDefault="00354AED">
      <w:pPr>
        <w:pStyle w:val="FootnoteText"/>
        <w:rPr>
          <w:lang w:val="tr-TR"/>
        </w:rPr>
      </w:pPr>
      <w:r>
        <w:rPr>
          <w:rStyle w:val="FootnoteReference"/>
        </w:rPr>
        <w:footnoteRef/>
      </w:r>
      <w:r w:rsidRPr="001043FD">
        <w:rPr>
          <w:lang w:val="tr-TR"/>
        </w:rPr>
        <w:t xml:space="preserve"> Erdoğan Teziç,  Kanunların Anayasaya Uygunluğunun Esas Açısından Denetimi, Anayasa Yargısı</w:t>
      </w:r>
      <w:r w:rsidR="003E11FB" w:rsidRPr="001043FD">
        <w:rPr>
          <w:lang w:val="tr-TR"/>
        </w:rPr>
        <w:t>-</w:t>
      </w:r>
      <w:r w:rsidRPr="001043FD">
        <w:rPr>
          <w:lang w:val="tr-TR"/>
        </w:rPr>
        <w:t>2, Anayasa Mahkemesi Yayını, Ankara, 1985, s.29-30.</w:t>
      </w:r>
    </w:p>
  </w:footnote>
  <w:footnote w:id="67">
    <w:p w14:paraId="3C598EE7" w14:textId="5E6ADACC" w:rsidR="00A125E1" w:rsidRPr="001043FD" w:rsidRDefault="00A125E1">
      <w:pPr>
        <w:pStyle w:val="FootnoteText"/>
        <w:rPr>
          <w:lang w:val="tr-TR"/>
        </w:rPr>
      </w:pPr>
      <w:r>
        <w:rPr>
          <w:rStyle w:val="FootnoteReference"/>
        </w:rPr>
        <w:footnoteRef/>
      </w:r>
      <w:r w:rsidRPr="001043FD">
        <w:rPr>
          <w:lang w:val="tr-TR"/>
        </w:rPr>
        <w:t xml:space="preserve"> Karar için bkz. Benan Molu, AYM ve İHAM Kararlarıyla Avukatlara Yönelik Yargı Tacizi ve Çoklu Baro Değişikliği Teklifi,</w:t>
      </w:r>
      <w:r w:rsidR="00730540" w:rsidRPr="001043FD">
        <w:rPr>
          <w:lang w:val="tr-TR"/>
        </w:rPr>
        <w:t xml:space="preserve"> </w:t>
      </w:r>
      <w:hyperlink r:id="rId9" w:anchor="_ftnref11" w:history="1">
        <w:r w:rsidR="00730540" w:rsidRPr="001043FD">
          <w:rPr>
            <w:rStyle w:val="Hyperlink"/>
            <w:lang w:val="tr-TR"/>
          </w:rPr>
          <w:t>https://anayasagundemi.com/2020/07/03/forum-av-benan-molu-aym-ve-iham-kararlariyla-avukatlara-yonelik-yargi-tacizi-ve-coklu-baro-degisikligi-teklifi/#_ftnref11</w:t>
        </w:r>
      </w:hyperlink>
      <w:r w:rsidR="00730540" w:rsidRPr="001043FD">
        <w:rPr>
          <w:lang w:val="tr-TR"/>
        </w:rPr>
        <w:t xml:space="preserve">, </w:t>
      </w:r>
      <w:r w:rsidRPr="001043FD">
        <w:rPr>
          <w:lang w:val="tr-TR"/>
        </w:rPr>
        <w:t xml:space="preserve"> </w:t>
      </w:r>
      <w:r w:rsidR="00730540" w:rsidRPr="001043FD">
        <w:rPr>
          <w:lang w:val="tr-TR"/>
        </w:rPr>
        <w:t>Erişim tarihi: (</w:t>
      </w:r>
      <w:r w:rsidRPr="001043FD">
        <w:rPr>
          <w:lang w:val="tr-TR"/>
        </w:rPr>
        <w:t>1</w:t>
      </w:r>
      <w:r w:rsidR="00730540" w:rsidRPr="001043FD">
        <w:rPr>
          <w:lang w:val="tr-TR"/>
        </w:rPr>
        <w:t>1</w:t>
      </w:r>
      <w:r w:rsidRPr="001043FD">
        <w:rPr>
          <w:lang w:val="tr-TR"/>
        </w:rPr>
        <w:t>.10.2021</w:t>
      </w:r>
      <w:r w:rsidR="00730540" w:rsidRPr="001043FD">
        <w:rPr>
          <w:lang w:val="tr-TR"/>
        </w:rPr>
        <w:t>)</w:t>
      </w:r>
    </w:p>
  </w:footnote>
  <w:footnote w:id="68">
    <w:p w14:paraId="1762A940" w14:textId="3A85A9F0" w:rsidR="00730AE4" w:rsidRPr="00730AE4" w:rsidRDefault="00730AE4">
      <w:pPr>
        <w:pStyle w:val="FootnoteText"/>
        <w:rPr>
          <w:lang w:val="en-GB"/>
        </w:rPr>
      </w:pPr>
      <w:r>
        <w:rPr>
          <w:rStyle w:val="FootnoteReference"/>
        </w:rPr>
        <w:footnoteRef/>
      </w:r>
      <w:r w:rsidRPr="00730AE4">
        <w:rPr>
          <w:lang w:val="en-GB"/>
        </w:rPr>
        <w:t xml:space="preserve"> Bkz. AİHM, Bota v. Romany</w:t>
      </w:r>
      <w:r>
        <w:rPr>
          <w:lang w:val="en-GB"/>
        </w:rPr>
        <w:t>a, Başvuru No:24057/03.</w:t>
      </w:r>
    </w:p>
  </w:footnote>
  <w:footnote w:id="69">
    <w:p w14:paraId="388E96CA" w14:textId="2E3378CB" w:rsidR="001E5869" w:rsidRPr="001E5869" w:rsidRDefault="001E5869">
      <w:pPr>
        <w:pStyle w:val="FootnoteText"/>
        <w:rPr>
          <w:lang w:val="en-GB"/>
        </w:rPr>
      </w:pPr>
      <w:r>
        <w:rPr>
          <w:rStyle w:val="FootnoteReference"/>
        </w:rPr>
        <w:footnoteRef/>
      </w:r>
      <w:r w:rsidRPr="001E5869">
        <w:rPr>
          <w:lang w:val="en-GB"/>
        </w:rPr>
        <w:t xml:space="preserve"> Karara mahkeme üyeleri Zühtü Aslan, Yu</w:t>
      </w:r>
      <w:r>
        <w:rPr>
          <w:lang w:val="en-GB"/>
        </w:rPr>
        <w:t xml:space="preserve">suf Şevki Hakyemez, </w:t>
      </w:r>
      <w:r w:rsidR="007907EB">
        <w:rPr>
          <w:lang w:val="en-GB"/>
        </w:rPr>
        <w:t>Celal Mümtaz Akıncı,</w:t>
      </w:r>
      <w:r>
        <w:rPr>
          <w:lang w:val="en-GB"/>
        </w:rPr>
        <w:t>Engin Yıldırım</w:t>
      </w:r>
      <w:r w:rsidR="007907EB">
        <w:rPr>
          <w:lang w:val="en-GB"/>
        </w:rPr>
        <w:t xml:space="preserve">, Emin Kuz, </w:t>
      </w:r>
      <w:r>
        <w:rPr>
          <w:lang w:val="en-GB"/>
        </w:rPr>
        <w:t xml:space="preserve"> ve Hasan Tahsin Gökçan karşı oy yazısı yazmışlardır.</w:t>
      </w:r>
    </w:p>
  </w:footnote>
  <w:footnote w:id="70">
    <w:p w14:paraId="246EB198" w14:textId="55D38086" w:rsidR="00875ED1" w:rsidRPr="00875ED1" w:rsidRDefault="00875ED1">
      <w:pPr>
        <w:pStyle w:val="FootnoteText"/>
      </w:pPr>
      <w:r>
        <w:rPr>
          <w:rStyle w:val="FootnoteReference"/>
        </w:rPr>
        <w:footnoteRef/>
      </w:r>
      <w:r>
        <w:t xml:space="preserve"> </w:t>
      </w:r>
      <w:r w:rsidR="002C6862">
        <w:t xml:space="preserve">Bkz. </w:t>
      </w:r>
      <w:r>
        <w:t>AYM E:2007/16 K:2009/147, K.t. 15.10.2009.</w:t>
      </w:r>
    </w:p>
  </w:footnote>
  <w:footnote w:id="71">
    <w:p w14:paraId="5DA8A6C2" w14:textId="62AA78BA" w:rsidR="005D1856" w:rsidRPr="005D1856" w:rsidRDefault="005D1856">
      <w:pPr>
        <w:pStyle w:val="FootnoteText"/>
        <w:rPr>
          <w:lang w:val="tr-TR"/>
        </w:rPr>
      </w:pPr>
      <w:r>
        <w:rPr>
          <w:rStyle w:val="FootnoteReference"/>
        </w:rPr>
        <w:footnoteRef/>
      </w:r>
      <w:r>
        <w:t xml:space="preserve"> </w:t>
      </w:r>
      <w:r>
        <w:rPr>
          <w:lang w:val="tr-TR"/>
        </w:rPr>
        <w:t>Bu alanda</w:t>
      </w:r>
      <w:r w:rsidR="002823CA">
        <w:rPr>
          <w:lang w:val="tr-TR"/>
        </w:rPr>
        <w:t xml:space="preserve"> Doğu Avrupa</w:t>
      </w:r>
      <w:r w:rsidR="001F4BE7">
        <w:rPr>
          <w:lang w:val="tr-TR"/>
        </w:rPr>
        <w:t xml:space="preserve"> anayasa yargısı</w:t>
      </w:r>
      <w:r w:rsidR="00875AEF">
        <w:rPr>
          <w:lang w:val="tr-TR"/>
        </w:rPr>
        <w:t>nın oluşumuna ilişkin</w:t>
      </w:r>
      <w:r w:rsidR="002823CA">
        <w:rPr>
          <w:lang w:val="tr-TR"/>
        </w:rPr>
        <w:t xml:space="preserve"> </w:t>
      </w:r>
      <w:r>
        <w:rPr>
          <w:lang w:val="tr-TR"/>
        </w:rPr>
        <w:t xml:space="preserve"> bkz.</w:t>
      </w:r>
      <w:r w:rsidR="00142268">
        <w:rPr>
          <w:lang w:val="tr-TR"/>
        </w:rPr>
        <w:t xml:space="preserve"> Klaus Von Beyme, Systemwechsel in Osteuropa, Frankfurt Am Main 1994, s.</w:t>
      </w:r>
      <w:r w:rsidR="002823CA">
        <w:rPr>
          <w:lang w:val="tr-TR"/>
        </w:rPr>
        <w:t>2</w:t>
      </w:r>
      <w:r w:rsidR="00E629AE">
        <w:rPr>
          <w:lang w:val="tr-TR"/>
        </w:rPr>
        <w:t>70</w:t>
      </w:r>
      <w:r w:rsidR="002823CA">
        <w:rPr>
          <w:lang w:val="tr-TR"/>
        </w:rPr>
        <w:t xml:space="preserve">vd. </w:t>
      </w:r>
    </w:p>
  </w:footnote>
  <w:footnote w:id="72">
    <w:p w14:paraId="18D50ED9" w14:textId="6277DBFA" w:rsidR="00A2220D" w:rsidRPr="00A2220D" w:rsidRDefault="00A2220D">
      <w:pPr>
        <w:pStyle w:val="FootnoteText"/>
        <w:rPr>
          <w:lang w:val="tr-TR"/>
        </w:rPr>
      </w:pPr>
      <w:r>
        <w:rPr>
          <w:rStyle w:val="FootnoteReference"/>
        </w:rPr>
        <w:footnoteRef/>
      </w:r>
      <w:r w:rsidRPr="0000638A">
        <w:rPr>
          <w:lang w:val="tr-TR"/>
        </w:rPr>
        <w:t xml:space="preserve"> </w:t>
      </w:r>
      <w:r>
        <w:rPr>
          <w:lang w:val="tr-TR"/>
        </w:rPr>
        <w:t>Erdoğan, s.2.</w:t>
      </w:r>
    </w:p>
  </w:footnote>
  <w:footnote w:id="73">
    <w:p w14:paraId="5F35C7FB" w14:textId="67D8669D" w:rsidR="008759BC" w:rsidRPr="0000638A" w:rsidRDefault="008759BC">
      <w:pPr>
        <w:pStyle w:val="FootnoteText"/>
        <w:rPr>
          <w:lang w:val="tr-TR"/>
        </w:rPr>
      </w:pPr>
      <w:r>
        <w:rPr>
          <w:rStyle w:val="FootnoteReference"/>
        </w:rPr>
        <w:footnoteRef/>
      </w:r>
      <w:r w:rsidRPr="0000638A">
        <w:rPr>
          <w:lang w:val="tr-TR"/>
        </w:rPr>
        <w:t xml:space="preserve"> </w:t>
      </w:r>
      <w:r w:rsidR="00043D6F" w:rsidRPr="0000638A">
        <w:rPr>
          <w:lang w:val="tr-TR"/>
        </w:rPr>
        <w:t>Erdoğan, s.5.</w:t>
      </w:r>
    </w:p>
  </w:footnote>
  <w:footnote w:id="74">
    <w:p w14:paraId="51065BFF" w14:textId="58BBA0B1" w:rsidR="005A7945" w:rsidRPr="00373433" w:rsidRDefault="00E63FA8" w:rsidP="005A7945">
      <w:pPr>
        <w:pStyle w:val="FootnoteText"/>
        <w:rPr>
          <w:lang w:val="tr-TR"/>
        </w:rPr>
      </w:pPr>
      <w:r>
        <w:rPr>
          <w:rStyle w:val="FootnoteReference"/>
        </w:rPr>
        <w:footnoteRef/>
      </w:r>
      <w:r w:rsidRPr="0000638A">
        <w:rPr>
          <w:lang w:val="tr-TR"/>
        </w:rPr>
        <w:t xml:space="preserve"> Popülist hareketlerin özellikle yargı ile sorunlu ilişkisi için bkz.</w:t>
      </w:r>
      <w:r w:rsidR="005A7945" w:rsidRPr="0000638A">
        <w:rPr>
          <w:lang w:val="tr-TR"/>
        </w:rPr>
        <w:t xml:space="preserve"> </w:t>
      </w:r>
      <w:r w:rsidR="005A7945" w:rsidRPr="00373433">
        <w:rPr>
          <w:lang w:val="tr-TR"/>
        </w:rPr>
        <w:t>Ahmet Mert Duygun,  Anayasa Hukuku Dergisi</w:t>
      </w:r>
    </w:p>
    <w:p w14:paraId="322CB8BE" w14:textId="72BD0BA1" w:rsidR="00E63FA8" w:rsidRPr="00373433" w:rsidRDefault="005A7945" w:rsidP="005A7945">
      <w:pPr>
        <w:pStyle w:val="FootnoteText"/>
        <w:rPr>
          <w:lang w:val="en-GB"/>
        </w:rPr>
      </w:pPr>
      <w:r w:rsidRPr="00373433">
        <w:rPr>
          <w:lang w:val="tr-TR"/>
        </w:rPr>
        <w:t>Cilt: 9 - Sayı: 18, 397-464; aynı yönde Şafak Evran</w:t>
      </w:r>
      <w:r w:rsidR="0010723B" w:rsidRPr="00373433">
        <w:rPr>
          <w:lang w:val="tr-TR"/>
        </w:rPr>
        <w:t xml:space="preserve"> Topuzkanamış, Karşılaştırmalı Anayasa Hukukuna Halka Ait Anayasacılık,</w:t>
      </w:r>
      <w:r w:rsidR="00CF5AE5" w:rsidRPr="00373433">
        <w:rPr>
          <w:lang w:val="tr-TR"/>
        </w:rPr>
        <w:t xml:space="preserve"> Oniki Levha Yayınları, 2. </w:t>
      </w:r>
      <w:r w:rsidR="00CF5AE5" w:rsidRPr="00373433">
        <w:rPr>
          <w:lang w:val="en-GB"/>
        </w:rPr>
        <w:t>Bası, İstanbul 202</w:t>
      </w:r>
      <w:r w:rsidR="009B6A91" w:rsidRPr="00373433">
        <w:rPr>
          <w:lang w:val="en-GB"/>
        </w:rPr>
        <w:t>1,</w:t>
      </w:r>
      <w:r w:rsidR="00CF5AE5" w:rsidRPr="00373433">
        <w:rPr>
          <w:lang w:val="en-GB"/>
        </w:rPr>
        <w:t>s. 12-60.</w:t>
      </w:r>
    </w:p>
  </w:footnote>
  <w:footnote w:id="75">
    <w:p w14:paraId="5CFA17BB" w14:textId="153BBBC7" w:rsidR="00930B9C" w:rsidRPr="00AE5D6D" w:rsidRDefault="00930B9C">
      <w:pPr>
        <w:pStyle w:val="FootnoteText"/>
        <w:rPr>
          <w:lang w:val="en-GB"/>
        </w:rPr>
      </w:pPr>
      <w:r>
        <w:rPr>
          <w:rStyle w:val="FootnoteReference"/>
        </w:rPr>
        <w:footnoteRef/>
      </w:r>
      <w:r w:rsidRPr="00AE5D6D">
        <w:rPr>
          <w:lang w:val="en-GB"/>
        </w:rPr>
        <w:t xml:space="preserve"> </w:t>
      </w:r>
      <w:r w:rsidR="00AE5D6D" w:rsidRPr="00AE5D6D">
        <w:rPr>
          <w:lang w:val="en-GB"/>
        </w:rPr>
        <w:t>Peter E. Quint, The Imperfect Union: Constutional Structures of German Unification, Princeton University Press,West Susxex 1997, s.1</w:t>
      </w:r>
      <w:r w:rsidR="00F94CE0">
        <w:rPr>
          <w:lang w:val="en-GB"/>
        </w:rPr>
        <w:t>84.</w:t>
      </w:r>
    </w:p>
  </w:footnote>
  <w:footnote w:id="76">
    <w:p w14:paraId="76550445" w14:textId="77C49EF0" w:rsidR="002A450C" w:rsidRPr="002A450C" w:rsidRDefault="002A450C">
      <w:pPr>
        <w:pStyle w:val="FootnoteText"/>
        <w:rPr>
          <w:lang w:val="tr-TR"/>
        </w:rPr>
      </w:pPr>
      <w:r>
        <w:rPr>
          <w:rStyle w:val="FootnoteReference"/>
        </w:rPr>
        <w:footnoteRef/>
      </w:r>
      <w:r>
        <w:t xml:space="preserve"> </w:t>
      </w:r>
      <w:r>
        <w:rPr>
          <w:lang w:val="tr-TR"/>
        </w:rPr>
        <w:t>A.g.e.</w:t>
      </w:r>
    </w:p>
  </w:footnote>
  <w:footnote w:id="77">
    <w:p w14:paraId="6932B544" w14:textId="4A35E48B" w:rsidR="00500458" w:rsidRPr="00500458" w:rsidRDefault="00500458">
      <w:pPr>
        <w:pStyle w:val="FootnoteText"/>
      </w:pPr>
      <w:r>
        <w:rPr>
          <w:rStyle w:val="FootnoteReference"/>
        </w:rPr>
        <w:footnoteRef/>
      </w:r>
      <w:r>
        <w:t xml:space="preserve"> Diemut </w:t>
      </w:r>
      <w:r w:rsidRPr="00500458">
        <w:t>Majer, Ein halbierter Rechtstaat für Ostdeutschland- Unterschiedliche Kriterien bei der Überprüfung von Angehörigen des öffentlichen Dienstes der ehemaligen DDR,</w:t>
      </w:r>
      <w:r w:rsidR="00684291" w:rsidRPr="00684291">
        <w:t xml:space="preserve"> Kritische Justiz Vol. 25, No. 2 (1992), </w:t>
      </w:r>
      <w:r w:rsidR="00C635DC">
        <w:t xml:space="preserve"> s.173.</w:t>
      </w:r>
      <w:r w:rsidR="00D54BB8" w:rsidRPr="00D54BB8">
        <w:t xml:space="preserve"> Benzer bir süreçten geçen Polonya ve Macaristan’da da AYM’ler bu konudaki </w:t>
      </w:r>
      <w:r w:rsidR="00503519">
        <w:t xml:space="preserve">lustrasyon </w:t>
      </w:r>
      <w:r w:rsidR="00D54BB8" w:rsidRPr="00D54BB8">
        <w:t>yasaları gerek kişisel</w:t>
      </w:r>
      <w:r w:rsidR="00503519">
        <w:t xml:space="preserve"> verilere saygı hakkı gerekse kanunların belirli olmaması yönünden iptal etmiştir. Bkz. Erdoğan, s.</w:t>
      </w:r>
      <w:r w:rsidR="00704420">
        <w:t>9-12.</w:t>
      </w:r>
    </w:p>
  </w:footnote>
  <w:footnote w:id="78">
    <w:p w14:paraId="3A601BEB" w14:textId="6FEB4720" w:rsidR="005960E9" w:rsidRPr="005960E9" w:rsidRDefault="005960E9">
      <w:pPr>
        <w:pStyle w:val="FootnoteText"/>
        <w:rPr>
          <w:lang w:val="tr-TR"/>
        </w:rPr>
      </w:pPr>
      <w:r>
        <w:rPr>
          <w:rStyle w:val="FootnoteReference"/>
        </w:rPr>
        <w:footnoteRef/>
      </w:r>
      <w:r w:rsidRPr="002A450C">
        <w:t xml:space="preserve"> </w:t>
      </w:r>
      <w:r>
        <w:rPr>
          <w:lang w:val="tr-TR"/>
        </w:rPr>
        <w:t>Bu konuda bkz. Lorenz Schulz, Rechtsbeugung und Mißbrauch staatlicher Macht- Die Rechtsprechung des Bundesgerichtshofs zur Rechtsbeugung unter dem SED-Regime, Stv 4/95, s.206-212.</w:t>
      </w:r>
    </w:p>
  </w:footnote>
  <w:footnote w:id="79">
    <w:p w14:paraId="2F514FA9" w14:textId="049EF9A5" w:rsidR="00293A5E" w:rsidRPr="00293A5E" w:rsidRDefault="00293A5E">
      <w:pPr>
        <w:pStyle w:val="FootnoteText"/>
        <w:rPr>
          <w:lang w:val="tr-TR"/>
        </w:rPr>
      </w:pPr>
      <w:r>
        <w:rPr>
          <w:rStyle w:val="FootnoteReference"/>
        </w:rPr>
        <w:footnoteRef/>
      </w:r>
      <w:r>
        <w:t xml:space="preserve"> </w:t>
      </w:r>
      <w:r>
        <w:rPr>
          <w:lang w:val="tr-TR"/>
        </w:rPr>
        <w:t>Scholz, s.208.</w:t>
      </w:r>
    </w:p>
  </w:footnote>
  <w:footnote w:id="80">
    <w:p w14:paraId="05DDF8CD" w14:textId="194610C4" w:rsidR="00B34DA0" w:rsidRPr="00B34DA0" w:rsidRDefault="00B34DA0">
      <w:pPr>
        <w:pStyle w:val="FootnoteText"/>
        <w:rPr>
          <w:lang w:val="tr-TR"/>
        </w:rPr>
      </w:pPr>
      <w:r>
        <w:rPr>
          <w:rStyle w:val="FootnoteReference"/>
        </w:rPr>
        <w:footnoteRef/>
      </w:r>
      <w:r>
        <w:t xml:space="preserve"> </w:t>
      </w:r>
      <w:r>
        <w:rPr>
          <w:lang w:val="tr-TR"/>
        </w:rPr>
        <w:t>Scholz, s.210.</w:t>
      </w:r>
    </w:p>
  </w:footnote>
  <w:footnote w:id="81">
    <w:p w14:paraId="33A2C3FD" w14:textId="570B6409" w:rsidR="00CB7B7C" w:rsidRPr="00CB7B7C" w:rsidRDefault="00CB7B7C">
      <w:pPr>
        <w:pStyle w:val="FootnoteText"/>
        <w:rPr>
          <w:lang w:val="tr-TR"/>
        </w:rPr>
      </w:pPr>
      <w:r>
        <w:rPr>
          <w:rStyle w:val="FootnoteReference"/>
        </w:rPr>
        <w:footnoteRef/>
      </w:r>
      <w:r>
        <w:t xml:space="preserve"> </w:t>
      </w:r>
      <w:r>
        <w:rPr>
          <w:lang w:val="tr-TR"/>
        </w:rPr>
        <w:t>Scholz, s.212.</w:t>
      </w:r>
    </w:p>
  </w:footnote>
  <w:footnote w:id="82">
    <w:p w14:paraId="6CAE901C" w14:textId="227EB620" w:rsidR="00665888" w:rsidRPr="00665888" w:rsidRDefault="00665888">
      <w:pPr>
        <w:pStyle w:val="FootnoteText"/>
        <w:rPr>
          <w:lang w:val="tr-TR"/>
        </w:rPr>
      </w:pPr>
      <w:r>
        <w:rPr>
          <w:rStyle w:val="FootnoteReference"/>
        </w:rPr>
        <w:footnoteRef/>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41354"/>
    <w:multiLevelType w:val="hybridMultilevel"/>
    <w:tmpl w:val="BDF6348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AB41850"/>
    <w:multiLevelType w:val="hybridMultilevel"/>
    <w:tmpl w:val="CC2ADBE0"/>
    <w:lvl w:ilvl="0" w:tplc="433001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B6802FE"/>
    <w:multiLevelType w:val="hybridMultilevel"/>
    <w:tmpl w:val="0C8CCC4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075"/>
    <w:rsid w:val="00000B7D"/>
    <w:rsid w:val="000033EC"/>
    <w:rsid w:val="00003A00"/>
    <w:rsid w:val="0000638A"/>
    <w:rsid w:val="00006B73"/>
    <w:rsid w:val="00030FD1"/>
    <w:rsid w:val="00041BF7"/>
    <w:rsid w:val="00043D6F"/>
    <w:rsid w:val="00052C69"/>
    <w:rsid w:val="00057299"/>
    <w:rsid w:val="00062259"/>
    <w:rsid w:val="000756CF"/>
    <w:rsid w:val="00075D23"/>
    <w:rsid w:val="00076EE1"/>
    <w:rsid w:val="00077002"/>
    <w:rsid w:val="000A1C87"/>
    <w:rsid w:val="000A6A20"/>
    <w:rsid w:val="000A76A8"/>
    <w:rsid w:val="000B3FD2"/>
    <w:rsid w:val="000B7B03"/>
    <w:rsid w:val="000D09C0"/>
    <w:rsid w:val="001043FD"/>
    <w:rsid w:val="0010723B"/>
    <w:rsid w:val="001134D9"/>
    <w:rsid w:val="0012270D"/>
    <w:rsid w:val="00125112"/>
    <w:rsid w:val="00130593"/>
    <w:rsid w:val="00140FEE"/>
    <w:rsid w:val="00142268"/>
    <w:rsid w:val="00143D4A"/>
    <w:rsid w:val="001447A3"/>
    <w:rsid w:val="00156B0E"/>
    <w:rsid w:val="00157E81"/>
    <w:rsid w:val="001669A0"/>
    <w:rsid w:val="00187BD1"/>
    <w:rsid w:val="0019111E"/>
    <w:rsid w:val="0019308B"/>
    <w:rsid w:val="00193CF8"/>
    <w:rsid w:val="0019688A"/>
    <w:rsid w:val="001A32D6"/>
    <w:rsid w:val="001C0C2A"/>
    <w:rsid w:val="001C4459"/>
    <w:rsid w:val="001C48A0"/>
    <w:rsid w:val="001E270B"/>
    <w:rsid w:val="001E5869"/>
    <w:rsid w:val="001E5ECB"/>
    <w:rsid w:val="001F4BE7"/>
    <w:rsid w:val="001F6F2F"/>
    <w:rsid w:val="0020110D"/>
    <w:rsid w:val="00205418"/>
    <w:rsid w:val="0022401A"/>
    <w:rsid w:val="00227634"/>
    <w:rsid w:val="00237CA2"/>
    <w:rsid w:val="00245914"/>
    <w:rsid w:val="0024702C"/>
    <w:rsid w:val="00247141"/>
    <w:rsid w:val="0026660D"/>
    <w:rsid w:val="002823CA"/>
    <w:rsid w:val="0028341F"/>
    <w:rsid w:val="002862B9"/>
    <w:rsid w:val="00287032"/>
    <w:rsid w:val="00287B7C"/>
    <w:rsid w:val="00290C60"/>
    <w:rsid w:val="00291440"/>
    <w:rsid w:val="00293A5E"/>
    <w:rsid w:val="00294035"/>
    <w:rsid w:val="002A450C"/>
    <w:rsid w:val="002A4D4F"/>
    <w:rsid w:val="002A7A6B"/>
    <w:rsid w:val="002C26F3"/>
    <w:rsid w:val="002C584E"/>
    <w:rsid w:val="002C6862"/>
    <w:rsid w:val="002D6B0E"/>
    <w:rsid w:val="002F3383"/>
    <w:rsid w:val="002F46B2"/>
    <w:rsid w:val="002F7BBD"/>
    <w:rsid w:val="00303A3B"/>
    <w:rsid w:val="003040AD"/>
    <w:rsid w:val="00304329"/>
    <w:rsid w:val="00304F7F"/>
    <w:rsid w:val="00306C19"/>
    <w:rsid w:val="00314D4F"/>
    <w:rsid w:val="003169DC"/>
    <w:rsid w:val="003250D3"/>
    <w:rsid w:val="00333075"/>
    <w:rsid w:val="00335B15"/>
    <w:rsid w:val="00343369"/>
    <w:rsid w:val="003465D0"/>
    <w:rsid w:val="00354AED"/>
    <w:rsid w:val="00361586"/>
    <w:rsid w:val="00361C81"/>
    <w:rsid w:val="00371CBE"/>
    <w:rsid w:val="00373433"/>
    <w:rsid w:val="00377D5E"/>
    <w:rsid w:val="00380DC1"/>
    <w:rsid w:val="003B6A7A"/>
    <w:rsid w:val="003B724C"/>
    <w:rsid w:val="003C124D"/>
    <w:rsid w:val="003C427A"/>
    <w:rsid w:val="003E11FB"/>
    <w:rsid w:val="003E70BE"/>
    <w:rsid w:val="003F5AED"/>
    <w:rsid w:val="004022C8"/>
    <w:rsid w:val="00406592"/>
    <w:rsid w:val="00407A05"/>
    <w:rsid w:val="00411F22"/>
    <w:rsid w:val="004301DB"/>
    <w:rsid w:val="00445DD9"/>
    <w:rsid w:val="00447DF8"/>
    <w:rsid w:val="004506A0"/>
    <w:rsid w:val="00450D96"/>
    <w:rsid w:val="00456C3A"/>
    <w:rsid w:val="00465068"/>
    <w:rsid w:val="004A0B19"/>
    <w:rsid w:val="004C79B5"/>
    <w:rsid w:val="004C7ACB"/>
    <w:rsid w:val="004D0DE6"/>
    <w:rsid w:val="004D0FA2"/>
    <w:rsid w:val="004D2504"/>
    <w:rsid w:val="004D2CC5"/>
    <w:rsid w:val="004D3784"/>
    <w:rsid w:val="004D7623"/>
    <w:rsid w:val="004E53B3"/>
    <w:rsid w:val="00500458"/>
    <w:rsid w:val="00503519"/>
    <w:rsid w:val="00504618"/>
    <w:rsid w:val="00514BDD"/>
    <w:rsid w:val="0051542E"/>
    <w:rsid w:val="00522687"/>
    <w:rsid w:val="00532EDC"/>
    <w:rsid w:val="00533617"/>
    <w:rsid w:val="00533BE0"/>
    <w:rsid w:val="005452F8"/>
    <w:rsid w:val="00551D30"/>
    <w:rsid w:val="00554A23"/>
    <w:rsid w:val="00567C7C"/>
    <w:rsid w:val="00572588"/>
    <w:rsid w:val="00576198"/>
    <w:rsid w:val="005815AB"/>
    <w:rsid w:val="00581E29"/>
    <w:rsid w:val="00583DD0"/>
    <w:rsid w:val="00595B90"/>
    <w:rsid w:val="005960E9"/>
    <w:rsid w:val="005A26AC"/>
    <w:rsid w:val="005A7419"/>
    <w:rsid w:val="005A7945"/>
    <w:rsid w:val="005C08E5"/>
    <w:rsid w:val="005C0F55"/>
    <w:rsid w:val="005C69A3"/>
    <w:rsid w:val="005D1856"/>
    <w:rsid w:val="005D4480"/>
    <w:rsid w:val="005D569A"/>
    <w:rsid w:val="005D5C1F"/>
    <w:rsid w:val="005D5CB3"/>
    <w:rsid w:val="005E5CEC"/>
    <w:rsid w:val="005F58E1"/>
    <w:rsid w:val="00604619"/>
    <w:rsid w:val="00610D53"/>
    <w:rsid w:val="006115CB"/>
    <w:rsid w:val="00611898"/>
    <w:rsid w:val="00621D93"/>
    <w:rsid w:val="006365B8"/>
    <w:rsid w:val="006366F7"/>
    <w:rsid w:val="006505F7"/>
    <w:rsid w:val="00650F54"/>
    <w:rsid w:val="00662D7A"/>
    <w:rsid w:val="00664A94"/>
    <w:rsid w:val="00665888"/>
    <w:rsid w:val="00675110"/>
    <w:rsid w:val="006762BF"/>
    <w:rsid w:val="00684291"/>
    <w:rsid w:val="006908B2"/>
    <w:rsid w:val="00694171"/>
    <w:rsid w:val="006B0F63"/>
    <w:rsid w:val="006D2209"/>
    <w:rsid w:val="006E1B39"/>
    <w:rsid w:val="006F06C6"/>
    <w:rsid w:val="00704420"/>
    <w:rsid w:val="007052E6"/>
    <w:rsid w:val="007101CA"/>
    <w:rsid w:val="007244B0"/>
    <w:rsid w:val="00730540"/>
    <w:rsid w:val="00730AE4"/>
    <w:rsid w:val="007376AB"/>
    <w:rsid w:val="00747E3C"/>
    <w:rsid w:val="007541DB"/>
    <w:rsid w:val="007627F9"/>
    <w:rsid w:val="00776F67"/>
    <w:rsid w:val="00783177"/>
    <w:rsid w:val="00783C53"/>
    <w:rsid w:val="007907EB"/>
    <w:rsid w:val="007B48F6"/>
    <w:rsid w:val="007C42EA"/>
    <w:rsid w:val="007D4FBB"/>
    <w:rsid w:val="007D5EF3"/>
    <w:rsid w:val="007E0435"/>
    <w:rsid w:val="007F7196"/>
    <w:rsid w:val="00801C1A"/>
    <w:rsid w:val="00806180"/>
    <w:rsid w:val="00811221"/>
    <w:rsid w:val="008112F8"/>
    <w:rsid w:val="00811AE4"/>
    <w:rsid w:val="0081574D"/>
    <w:rsid w:val="0081626D"/>
    <w:rsid w:val="00823185"/>
    <w:rsid w:val="00841E26"/>
    <w:rsid w:val="008452B5"/>
    <w:rsid w:val="0084722D"/>
    <w:rsid w:val="00870060"/>
    <w:rsid w:val="008759BC"/>
    <w:rsid w:val="00875AEF"/>
    <w:rsid w:val="00875ED1"/>
    <w:rsid w:val="00877F52"/>
    <w:rsid w:val="008B6D57"/>
    <w:rsid w:val="008C2E81"/>
    <w:rsid w:val="008C6F6A"/>
    <w:rsid w:val="008D0DDE"/>
    <w:rsid w:val="008D5F6E"/>
    <w:rsid w:val="008D6357"/>
    <w:rsid w:val="008E2194"/>
    <w:rsid w:val="008E6198"/>
    <w:rsid w:val="008F525B"/>
    <w:rsid w:val="00903AE0"/>
    <w:rsid w:val="00906299"/>
    <w:rsid w:val="009159B5"/>
    <w:rsid w:val="00916F6C"/>
    <w:rsid w:val="0092536C"/>
    <w:rsid w:val="00926C47"/>
    <w:rsid w:val="00930B9C"/>
    <w:rsid w:val="00943F20"/>
    <w:rsid w:val="00947819"/>
    <w:rsid w:val="009620CE"/>
    <w:rsid w:val="009723A2"/>
    <w:rsid w:val="009756D8"/>
    <w:rsid w:val="00984218"/>
    <w:rsid w:val="00991E3E"/>
    <w:rsid w:val="00994742"/>
    <w:rsid w:val="009968D9"/>
    <w:rsid w:val="009A0F25"/>
    <w:rsid w:val="009A3C55"/>
    <w:rsid w:val="009B6A91"/>
    <w:rsid w:val="009C6390"/>
    <w:rsid w:val="009D2A8A"/>
    <w:rsid w:val="009E7B09"/>
    <w:rsid w:val="009F2ECD"/>
    <w:rsid w:val="00A00806"/>
    <w:rsid w:val="00A10D68"/>
    <w:rsid w:val="00A125E1"/>
    <w:rsid w:val="00A1584D"/>
    <w:rsid w:val="00A158E4"/>
    <w:rsid w:val="00A20535"/>
    <w:rsid w:val="00A20784"/>
    <w:rsid w:val="00A2220D"/>
    <w:rsid w:val="00A30BE0"/>
    <w:rsid w:val="00A35F55"/>
    <w:rsid w:val="00A4284A"/>
    <w:rsid w:val="00A4592F"/>
    <w:rsid w:val="00A45FD2"/>
    <w:rsid w:val="00A46A4D"/>
    <w:rsid w:val="00A56067"/>
    <w:rsid w:val="00A62673"/>
    <w:rsid w:val="00A630F3"/>
    <w:rsid w:val="00A8480A"/>
    <w:rsid w:val="00A9584A"/>
    <w:rsid w:val="00A96974"/>
    <w:rsid w:val="00AB052A"/>
    <w:rsid w:val="00AB64E8"/>
    <w:rsid w:val="00AD2A1F"/>
    <w:rsid w:val="00AE5D6D"/>
    <w:rsid w:val="00AE73D3"/>
    <w:rsid w:val="00B035CC"/>
    <w:rsid w:val="00B04461"/>
    <w:rsid w:val="00B05834"/>
    <w:rsid w:val="00B152E2"/>
    <w:rsid w:val="00B263D3"/>
    <w:rsid w:val="00B34DA0"/>
    <w:rsid w:val="00B5416C"/>
    <w:rsid w:val="00B659A8"/>
    <w:rsid w:val="00B6664C"/>
    <w:rsid w:val="00B740CB"/>
    <w:rsid w:val="00B74A37"/>
    <w:rsid w:val="00B75D84"/>
    <w:rsid w:val="00B75ED4"/>
    <w:rsid w:val="00B7658A"/>
    <w:rsid w:val="00B80763"/>
    <w:rsid w:val="00B8469E"/>
    <w:rsid w:val="00B93142"/>
    <w:rsid w:val="00B97FF3"/>
    <w:rsid w:val="00BB5E1E"/>
    <w:rsid w:val="00BC0905"/>
    <w:rsid w:val="00BC27FD"/>
    <w:rsid w:val="00BD0E46"/>
    <w:rsid w:val="00BD1F5C"/>
    <w:rsid w:val="00BE384F"/>
    <w:rsid w:val="00C15CBA"/>
    <w:rsid w:val="00C17237"/>
    <w:rsid w:val="00C227F7"/>
    <w:rsid w:val="00C30366"/>
    <w:rsid w:val="00C31AA0"/>
    <w:rsid w:val="00C368AE"/>
    <w:rsid w:val="00C37F43"/>
    <w:rsid w:val="00C409CD"/>
    <w:rsid w:val="00C41802"/>
    <w:rsid w:val="00C635DC"/>
    <w:rsid w:val="00C66482"/>
    <w:rsid w:val="00C6692C"/>
    <w:rsid w:val="00C72C60"/>
    <w:rsid w:val="00C900B6"/>
    <w:rsid w:val="00C92A21"/>
    <w:rsid w:val="00CA0DBB"/>
    <w:rsid w:val="00CB668D"/>
    <w:rsid w:val="00CB7B7C"/>
    <w:rsid w:val="00CD13E1"/>
    <w:rsid w:val="00CD1782"/>
    <w:rsid w:val="00CD196E"/>
    <w:rsid w:val="00CD7A71"/>
    <w:rsid w:val="00CD7E38"/>
    <w:rsid w:val="00CE7228"/>
    <w:rsid w:val="00CF5AE5"/>
    <w:rsid w:val="00D0456F"/>
    <w:rsid w:val="00D142F8"/>
    <w:rsid w:val="00D30B8E"/>
    <w:rsid w:val="00D45877"/>
    <w:rsid w:val="00D54BB8"/>
    <w:rsid w:val="00D5608D"/>
    <w:rsid w:val="00D76B93"/>
    <w:rsid w:val="00D8225D"/>
    <w:rsid w:val="00D9401E"/>
    <w:rsid w:val="00DA51B7"/>
    <w:rsid w:val="00DB12AE"/>
    <w:rsid w:val="00DB69A0"/>
    <w:rsid w:val="00DF09FA"/>
    <w:rsid w:val="00DF41F2"/>
    <w:rsid w:val="00E05C60"/>
    <w:rsid w:val="00E2528A"/>
    <w:rsid w:val="00E36871"/>
    <w:rsid w:val="00E5541B"/>
    <w:rsid w:val="00E56150"/>
    <w:rsid w:val="00E629AE"/>
    <w:rsid w:val="00E63FA8"/>
    <w:rsid w:val="00E702E0"/>
    <w:rsid w:val="00E76AC9"/>
    <w:rsid w:val="00E82ADA"/>
    <w:rsid w:val="00E86093"/>
    <w:rsid w:val="00EB1E67"/>
    <w:rsid w:val="00EC41ED"/>
    <w:rsid w:val="00EE6BAE"/>
    <w:rsid w:val="00EF276C"/>
    <w:rsid w:val="00EF3269"/>
    <w:rsid w:val="00EF477F"/>
    <w:rsid w:val="00EF5925"/>
    <w:rsid w:val="00F012CC"/>
    <w:rsid w:val="00F12139"/>
    <w:rsid w:val="00F22C83"/>
    <w:rsid w:val="00F230A6"/>
    <w:rsid w:val="00F23B17"/>
    <w:rsid w:val="00F25124"/>
    <w:rsid w:val="00F27D57"/>
    <w:rsid w:val="00F31B53"/>
    <w:rsid w:val="00F348AF"/>
    <w:rsid w:val="00F354A4"/>
    <w:rsid w:val="00F44FD2"/>
    <w:rsid w:val="00F4732E"/>
    <w:rsid w:val="00F57245"/>
    <w:rsid w:val="00F61605"/>
    <w:rsid w:val="00F6262C"/>
    <w:rsid w:val="00F64541"/>
    <w:rsid w:val="00F6563E"/>
    <w:rsid w:val="00F90AFC"/>
    <w:rsid w:val="00F93604"/>
    <w:rsid w:val="00F94CE0"/>
    <w:rsid w:val="00FA16B1"/>
    <w:rsid w:val="00FA62EA"/>
    <w:rsid w:val="00FA7318"/>
    <w:rsid w:val="00FB4B07"/>
    <w:rsid w:val="00FD4E18"/>
    <w:rsid w:val="00FE3B8B"/>
    <w:rsid w:val="00FF191C"/>
    <w:rsid w:val="00FF24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59D58"/>
  <w15:docId w15:val="{FEC015D0-9900-4BC7-8EFD-74055D860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56150"/>
    <w:pPr>
      <w:spacing w:after="0" w:line="240" w:lineRule="auto"/>
    </w:pPr>
    <w:rPr>
      <w:sz w:val="20"/>
      <w:szCs w:val="20"/>
    </w:rPr>
  </w:style>
  <w:style w:type="character" w:customStyle="1" w:styleId="FootnoteTextChar">
    <w:name w:val="Footnote Text Char"/>
    <w:basedOn w:val="DefaultParagraphFont"/>
    <w:link w:val="FootnoteText"/>
    <w:uiPriority w:val="99"/>
    <w:rsid w:val="00E56150"/>
    <w:rPr>
      <w:noProof/>
      <w:sz w:val="20"/>
      <w:szCs w:val="20"/>
      <w:lang w:val="de-DE"/>
    </w:rPr>
  </w:style>
  <w:style w:type="character" w:styleId="FootnoteReference">
    <w:name w:val="footnote reference"/>
    <w:basedOn w:val="DefaultParagraphFont"/>
    <w:uiPriority w:val="99"/>
    <w:semiHidden/>
    <w:unhideWhenUsed/>
    <w:rsid w:val="00E56150"/>
    <w:rPr>
      <w:vertAlign w:val="superscript"/>
    </w:rPr>
  </w:style>
  <w:style w:type="character" w:styleId="Hyperlink">
    <w:name w:val="Hyperlink"/>
    <w:basedOn w:val="DefaultParagraphFont"/>
    <w:uiPriority w:val="99"/>
    <w:unhideWhenUsed/>
    <w:rsid w:val="006908B2"/>
    <w:rPr>
      <w:color w:val="0563C1" w:themeColor="hyperlink"/>
      <w:u w:val="single"/>
    </w:rPr>
  </w:style>
  <w:style w:type="character" w:customStyle="1" w:styleId="zmlenmeyenBahsetme1">
    <w:name w:val="Çözümlenmeyen Bahsetme1"/>
    <w:basedOn w:val="DefaultParagraphFont"/>
    <w:uiPriority w:val="99"/>
    <w:semiHidden/>
    <w:unhideWhenUsed/>
    <w:rsid w:val="006908B2"/>
    <w:rPr>
      <w:color w:val="605E5C"/>
      <w:shd w:val="clear" w:color="auto" w:fill="E1DFDD"/>
    </w:rPr>
  </w:style>
  <w:style w:type="paragraph" w:styleId="ListParagraph">
    <w:name w:val="List Paragraph"/>
    <w:basedOn w:val="Normal"/>
    <w:uiPriority w:val="34"/>
    <w:qFormat/>
    <w:rsid w:val="00CA0D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ristoph-degenhart.com/wp-content/uploads/2021/04/Kolumne_Degenhart-BK.pdf" TargetMode="External"/><Relationship Id="rId3" Type="http://schemas.openxmlformats.org/officeDocument/2006/relationships/settings" Target="settings.xml"/><Relationship Id="rId7" Type="http://schemas.openxmlformats.org/officeDocument/2006/relationships/hyperlink" Target="https://www.istanbulbarosu.org.tr/files/docs/AvukatlikKanunuDegis-AVProflar-AnayasayaAykirilikDegerlendirmesi.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anayasagundemi.com/2020/07/03/forum-av-benan-molu-aym-ve-iham-kararlariyla-avukatlara-yonelik-yargi-tacizi-ve-coklu-baro-degisikligi-teklifi/" TargetMode="External"/><Relationship Id="rId4" Type="http://schemas.openxmlformats.org/officeDocument/2006/relationships/webSettings" Target="webSettings.xml"/><Relationship Id="rId9" Type="http://schemas.openxmlformats.org/officeDocument/2006/relationships/hyperlink" Target="https://blog-iacl-aidc.org/2019-posts/2019/2/5/a-part-of-the-constitution-is-unconstitutional-the-slovak-constitutional-court-has-ruled"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stanbulbarosu.org.tr/files/docs/AvukatlikKanunuDegis-AVProflar-AnayasayaAykirilikDegerlendirmesi.pdf" TargetMode="External"/><Relationship Id="rId3" Type="http://schemas.openxmlformats.org/officeDocument/2006/relationships/hyperlink" Target="https://rsw.beck.de/aktuell/daily/magazin/detail/herrschaft-auf-zeit" TargetMode="External"/><Relationship Id="rId7" Type="http://schemas.openxmlformats.org/officeDocument/2006/relationships/hyperlink" Target="https://hukukdefterleri.com/coklu-baro-kamu-tuzel-kisiligi-kavrami-uzerinden-bir-analiz/" TargetMode="External"/><Relationship Id="rId2" Type="http://schemas.openxmlformats.org/officeDocument/2006/relationships/hyperlink" Target="https://blog-iacl-aidc.org/2019-posts/2019/2/5/a-part-of-the-constitution-is-unconstitutional-the-slovak-constitutional-court-has-ruled" TargetMode="External"/><Relationship Id="rId1" Type="http://schemas.openxmlformats.org/officeDocument/2006/relationships/hyperlink" Target="mailto:mert.duygun@bakircay.edu.tr" TargetMode="External"/><Relationship Id="rId6" Type="http://schemas.openxmlformats.org/officeDocument/2006/relationships/hyperlink" Target="http://www.ihop.org.tr/wp-content/uploads/2018/03/Atipik_OHAL_-KHKleri.pdf" TargetMode="External"/><Relationship Id="rId5" Type="http://schemas.openxmlformats.org/officeDocument/2006/relationships/hyperlink" Target="http://tbbyayinlari.barobirlik.org.tr/TBBBooks/650.pdf" TargetMode="External"/><Relationship Id="rId4" Type="http://schemas.openxmlformats.org/officeDocument/2006/relationships/hyperlink" Target="https://www.bbc.com/news/world-latin-america-22605030" TargetMode="External"/><Relationship Id="rId9" Type="http://schemas.openxmlformats.org/officeDocument/2006/relationships/hyperlink" Target="https://anayasagundemi.com/2020/07/03/forum-av-benan-molu-aym-ve-iham-kararlariyla-avukatlara-yonelik-yargi-tacizi-ve-coklu-baro-degisikligi-teklif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6012</Words>
  <Characters>34273</Characters>
  <Application>Microsoft Office Word</Application>
  <DocSecurity>0</DocSecurity>
  <Lines>285</Lines>
  <Paragraphs>80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Mert DUYGUN</dc:creator>
  <cp:keywords/>
  <dc:description/>
  <cp:lastModifiedBy>bilkent</cp:lastModifiedBy>
  <cp:revision>2</cp:revision>
  <dcterms:created xsi:type="dcterms:W3CDTF">2021-10-19T05:42:00Z</dcterms:created>
  <dcterms:modified xsi:type="dcterms:W3CDTF">2021-10-19T05:42:00Z</dcterms:modified>
</cp:coreProperties>
</file>